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2DC5A">
      <w:pPr>
        <w:spacing w:line="600" w:lineRule="exact"/>
        <w:jc w:val="center"/>
        <w:outlineLvl w:val="0"/>
        <w:rPr>
          <w:rStyle w:val="19"/>
          <w:rFonts w:ascii="仿宋" w:hAnsi="仿宋" w:eastAsia="仿宋"/>
          <w:b/>
          <w:bCs/>
          <w:sz w:val="44"/>
          <w:szCs w:val="44"/>
        </w:rPr>
      </w:pPr>
      <w:r>
        <w:rPr>
          <w:rStyle w:val="19"/>
          <w:rFonts w:hint="eastAsia" w:ascii="仿宋" w:hAnsi="仿宋" w:eastAsia="仿宋"/>
          <w:b/>
          <w:bCs/>
          <w:sz w:val="44"/>
          <w:szCs w:val="44"/>
          <w:lang w:val="en-US" w:eastAsia="zh-CN"/>
        </w:rPr>
        <w:t>南充市建华高级职业中学实训基地建设</w:t>
      </w:r>
    </w:p>
    <w:p w14:paraId="40E179A0">
      <w:pPr>
        <w:spacing w:line="600" w:lineRule="exact"/>
        <w:jc w:val="center"/>
        <w:outlineLvl w:val="0"/>
        <w:rPr>
          <w:rStyle w:val="19"/>
          <w:rFonts w:ascii="仿宋" w:hAnsi="仿宋" w:eastAsia="仿宋"/>
          <w:b/>
          <w:bCs/>
          <w:sz w:val="44"/>
          <w:szCs w:val="44"/>
        </w:rPr>
      </w:pPr>
      <w:r>
        <w:rPr>
          <w:rStyle w:val="19"/>
          <w:rFonts w:ascii="仿宋" w:hAnsi="仿宋" w:eastAsia="仿宋"/>
          <w:b/>
          <w:bCs/>
          <w:sz w:val="44"/>
          <w:szCs w:val="44"/>
        </w:rPr>
        <w:t>项目情况</w:t>
      </w:r>
    </w:p>
    <w:p w14:paraId="647F1E8D"/>
    <w:p w14:paraId="4527827A">
      <w:pPr>
        <w:spacing w:line="580" w:lineRule="exact"/>
        <w:ind w:firstLine="141" w:firstLineChars="44"/>
        <w:outlineLvl w:val="1"/>
        <w:rPr>
          <w:rStyle w:val="19"/>
          <w:rFonts w:ascii="仿宋" w:hAnsi="仿宋" w:eastAsia="仿宋"/>
          <w:b/>
          <w:sz w:val="32"/>
          <w:szCs w:val="32"/>
        </w:rPr>
      </w:pPr>
      <w:r>
        <w:rPr>
          <w:rStyle w:val="19"/>
          <w:rFonts w:ascii="仿宋" w:hAnsi="仿宋" w:eastAsia="仿宋"/>
          <w:b/>
          <w:sz w:val="32"/>
          <w:szCs w:val="32"/>
        </w:rPr>
        <w:t>一、项目基本情况</w:t>
      </w:r>
    </w:p>
    <w:p w14:paraId="11CDDB2F">
      <w:pPr>
        <w:pStyle w:val="3"/>
        <w:spacing w:line="580" w:lineRule="exact"/>
        <w:rPr>
          <w:rFonts w:ascii="仿宋" w:hAnsi="仿宋" w:eastAsia="仿宋"/>
        </w:rPr>
      </w:pPr>
      <w:bookmarkStart w:id="0" w:name="_Toc174523922"/>
      <w:r>
        <w:rPr>
          <w:rFonts w:hint="eastAsia" w:ascii="仿宋" w:hAnsi="仿宋" w:eastAsia="仿宋"/>
        </w:rPr>
        <w:t>（一）市县及行业专项规划概况</w:t>
      </w:r>
      <w:bookmarkEnd w:id="0"/>
      <w:bookmarkStart w:id="1" w:name="1.广元市“十三五”规划纲要"/>
      <w:bookmarkEnd w:id="1"/>
      <w:bookmarkStart w:id="2" w:name="_bookmark3"/>
      <w:bookmarkEnd w:id="2"/>
    </w:p>
    <w:p w14:paraId="62F5DC65">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顺庆区，隶属四川省南充市，位于四川省东北部，四川盆地中部，嘉陵江中游西岸，属中亚热带湿润季风气候区，气候温和，四季宜农，总面积555平方千米。截至2023年6月，顺庆区辖12个街道、6个镇、1个乡，区人民政府驻果城路13号政府大楼。截至2023年末，顺庆区常住人口83.0万人。</w:t>
      </w:r>
    </w:p>
    <w:p w14:paraId="152E82F9">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远古时，为“有果氏之国”；唐虞时，为巴人之国；周，为巴子国地；秦，属巴郡阆中县；唐时，称为果州；南宋理宗宝庆三年，升果州为府，赐名顺庆，以祈国运祥顺吉庆。1993年，南充地改市，设县级区为顺庆区。顺庆区是南充市的政治、经济、文化中心，川东北金融、商贸、物流中心，交通信息枢纽，省级“历史文化”名城、优秀旅游城市和三国文化之源。境内拥有西山风景区、张澜纪念馆、罗瑞卿故居和千年古刹清泉寺等风景名胜和古迹30余处，三国文化、红色文化、嘉陵江文化交相辉映。</w:t>
      </w:r>
      <w:bookmarkStart w:id="3" w:name="（二）项目情况。"/>
      <w:bookmarkEnd w:id="3"/>
    </w:p>
    <w:p w14:paraId="338ADED9">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南充市国民经济和社会发展第十四个五年规划和二〇三五年远景目标纲要》明确提出：促进职业教育院校规范提质发展，加快中职学校办学条件标准化建设，着力创建品牌学校和优势专业，扩大中等职业教育规模，提升高职教育办学质量。支持市域高职院校发展，创建高水平学校和高水平专业，建设“双高学校”，积极争取本科层次职业教育试点。推动产教融合发展，支持学校和优质企业联合组建职教集团，提升现有职教集团发展质量，做大做强川渝特色职教品牌。推进职普融通发展，探索普通高中教育与中等职业教育学籍转换、学习成果互认、资源互通，优化职普比例。推进中高等职业教育全面衔接，加快推进高职教育分类招考。</w:t>
      </w:r>
    </w:p>
    <w:p w14:paraId="5F3D385E">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南充市教育体育事业“十四五”发展规划》提出：制定六大新发展任务。其中较为符合本项目建设的三项内容如下：一是推进基本公共服务优质均衡发展，加快基础教育学校布局调整、学前教育普及普惠发展，城乡义务教育一体化发展，促进高中阶段教育多样化特色发展、特殊教育统筹发展。二是推进职业教育品牌创建、构建现代职业教育体系，加快技能型社会建设，三是推进高等教育提质增量。重点推动市校合作共建和大学城建设。支持西华师范大学申博、川北医学院更名、西南石油大学（南充）高水平建设，支持南充职业技术学院开办职业教育本科专业和创建职业本科大学。</w:t>
      </w:r>
    </w:p>
    <w:p w14:paraId="78B961B0">
      <w:pPr>
        <w:pStyle w:val="3"/>
        <w:spacing w:line="580" w:lineRule="exact"/>
        <w:rPr>
          <w:rFonts w:ascii="仿宋" w:hAnsi="仿宋" w:eastAsia="仿宋"/>
        </w:rPr>
      </w:pPr>
      <w:r>
        <w:rPr>
          <w:rFonts w:ascii="仿宋" w:hAnsi="仿宋" w:eastAsia="仿宋"/>
        </w:rPr>
        <w:t>（二）项目情况</w:t>
      </w:r>
    </w:p>
    <w:p w14:paraId="6A998B99">
      <w:pPr>
        <w:pStyle w:val="2"/>
        <w:spacing w:line="580" w:lineRule="exact"/>
        <w:jc w:val="both"/>
        <w:rPr>
          <w:caps/>
          <w:lang w:val="en-US"/>
        </w:rPr>
      </w:pPr>
      <w:bookmarkStart w:id="4" w:name="_Toc174523928"/>
      <w:r>
        <w:rPr>
          <w:rFonts w:hint="eastAsia"/>
          <w:caps/>
          <w:lang w:val="en-US"/>
        </w:rPr>
        <w:t>1.参与主体</w:t>
      </w:r>
      <w:bookmarkEnd w:id="4"/>
    </w:p>
    <w:p w14:paraId="14785967">
      <w:pPr>
        <w:spacing w:line="580" w:lineRule="exact"/>
        <w:ind w:firstLine="640" w:firstLineChars="200"/>
        <w:rPr>
          <w:rFonts w:hint="default" w:ascii="仿宋" w:hAnsi="仿宋" w:eastAsia="仿宋"/>
          <w:sz w:val="32"/>
          <w:szCs w:val="32"/>
          <w:lang w:val="en-US" w:eastAsia="zh-CN"/>
        </w:rPr>
      </w:pPr>
      <w:r>
        <w:rPr>
          <w:rFonts w:hint="eastAsia" w:ascii="仿宋" w:hAnsi="仿宋" w:eastAsia="仿宋" w:cs="仿宋_GB2312"/>
          <w:sz w:val="32"/>
          <w:szCs w:val="32"/>
        </w:rPr>
        <w:t>主管部门：</w:t>
      </w:r>
      <w:r>
        <w:rPr>
          <w:rFonts w:hint="eastAsia" w:ascii="仿宋" w:hAnsi="仿宋" w:eastAsia="仿宋"/>
          <w:sz w:val="32"/>
          <w:szCs w:val="32"/>
          <w:lang w:val="en-US" w:eastAsia="zh-CN"/>
        </w:rPr>
        <w:t>南充市顺庆区教育和体育局</w:t>
      </w:r>
    </w:p>
    <w:p w14:paraId="3039ADA5">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项目业主（项目单位）：</w:t>
      </w:r>
      <w:r>
        <w:rPr>
          <w:rFonts w:hint="eastAsia" w:ascii="仿宋" w:hAnsi="仿宋" w:eastAsia="仿宋" w:cs="仿宋_GB2312"/>
          <w:sz w:val="32"/>
          <w:szCs w:val="32"/>
          <w:lang w:val="en-US" w:eastAsia="zh-CN"/>
        </w:rPr>
        <w:t>南充市建华高级职业中学</w:t>
      </w:r>
    </w:p>
    <w:p w14:paraId="1F26D2B5">
      <w:pPr>
        <w:pStyle w:val="2"/>
        <w:spacing w:line="580" w:lineRule="exact"/>
        <w:jc w:val="both"/>
        <w:rPr>
          <w:caps/>
          <w:lang w:val="en-US"/>
        </w:rPr>
      </w:pPr>
      <w:bookmarkStart w:id="5" w:name="_Toc174523929"/>
      <w:r>
        <w:rPr>
          <w:rFonts w:hint="eastAsia"/>
          <w:caps/>
          <w:lang w:val="en-US"/>
        </w:rPr>
        <w:t>2.项目概况</w:t>
      </w:r>
      <w:bookmarkEnd w:id="5"/>
    </w:p>
    <w:p w14:paraId="6E11DB23">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项目名称：</w:t>
      </w:r>
      <w:r>
        <w:rPr>
          <w:rFonts w:hint="eastAsia" w:ascii="仿宋" w:hAnsi="仿宋" w:eastAsia="仿宋" w:cs="仿宋_GB2312"/>
          <w:sz w:val="32"/>
          <w:szCs w:val="32"/>
          <w:lang w:val="en-US" w:eastAsia="zh-CN"/>
        </w:rPr>
        <w:t>南充市建华高级职业中学实训基地建设项目</w:t>
      </w:r>
      <w:r>
        <w:rPr>
          <w:rFonts w:hint="eastAsia" w:ascii="仿宋" w:hAnsi="仿宋" w:eastAsia="仿宋" w:cs="仿宋_GB2312"/>
          <w:sz w:val="32"/>
          <w:szCs w:val="32"/>
        </w:rPr>
        <w:t>。</w:t>
      </w:r>
    </w:p>
    <w:p w14:paraId="329C99D7">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项目所属领域：</w:t>
      </w:r>
      <w:r>
        <w:rPr>
          <w:rFonts w:hint="eastAsia" w:ascii="仿宋" w:hAnsi="仿宋" w:eastAsia="仿宋" w:cs="仿宋_GB2312"/>
          <w:sz w:val="32"/>
          <w:szCs w:val="32"/>
          <w:lang w:val="en-US" w:eastAsia="zh-CN"/>
        </w:rPr>
        <w:t>社会事业-职业教育</w:t>
      </w:r>
      <w:r>
        <w:rPr>
          <w:rFonts w:hint="eastAsia" w:ascii="仿宋" w:hAnsi="仿宋" w:eastAsia="仿宋" w:cs="仿宋_GB2312"/>
          <w:sz w:val="32"/>
          <w:szCs w:val="32"/>
        </w:rPr>
        <w:t>。</w:t>
      </w:r>
    </w:p>
    <w:p w14:paraId="7050EF7B">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项目建设地址</w:t>
      </w:r>
      <w:bookmarkStart w:id="6" w:name="_Hlk129032667"/>
      <w:r>
        <w:rPr>
          <w:rFonts w:hint="eastAsia" w:ascii="仿宋" w:hAnsi="仿宋" w:eastAsia="仿宋" w:cs="仿宋_GB2312"/>
          <w:sz w:val="32"/>
          <w:szCs w:val="32"/>
        </w:rPr>
        <w:t>：</w:t>
      </w:r>
      <w:bookmarkEnd w:id="6"/>
      <w:r>
        <w:rPr>
          <w:rFonts w:hint="eastAsia" w:ascii="仿宋" w:hAnsi="仿宋" w:eastAsia="仿宋" w:cs="仿宋_GB2312"/>
          <w:sz w:val="32"/>
          <w:szCs w:val="32"/>
        </w:rPr>
        <w:t xml:space="preserve">项目位于南充市顺庆区表方街1号。 </w:t>
      </w:r>
    </w:p>
    <w:p w14:paraId="040D446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rPr>
        <w:t>项目建设内容</w:t>
      </w:r>
      <w:r>
        <w:rPr>
          <w:rFonts w:hint="eastAsia" w:ascii="仿宋" w:hAnsi="仿宋" w:eastAsia="仿宋" w:cs="仿宋_GB2312"/>
          <w:sz w:val="32"/>
          <w:szCs w:val="32"/>
          <w:lang w:val="en-US" w:eastAsia="zh-CN"/>
        </w:rPr>
        <w:t>：该项目占地约12亩，新建实训楼约12000平方米及相关附属工程，购置实训设施设备等。</w:t>
      </w:r>
    </w:p>
    <w:p w14:paraId="34DE8192">
      <w:pPr>
        <w:pStyle w:val="2"/>
        <w:spacing w:line="580" w:lineRule="exact"/>
        <w:jc w:val="both"/>
        <w:rPr>
          <w:lang w:val="en-US"/>
        </w:rPr>
      </w:pPr>
      <w:bookmarkStart w:id="7" w:name="_Toc174523932"/>
      <w:r>
        <w:rPr>
          <w:lang w:val="en-US"/>
        </w:rPr>
        <w:t>3</w:t>
      </w:r>
      <w:r>
        <w:rPr>
          <w:rFonts w:hint="eastAsia"/>
          <w:lang w:val="en-US"/>
        </w:rPr>
        <w:t>.项目公益性论证</w:t>
      </w:r>
      <w:bookmarkEnd w:id="7"/>
    </w:p>
    <w:p w14:paraId="02945E55">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按照《财政局关于试点发展项目收益与融资自求平衡的地方政府专项债券品种的通知》（财预〔2017〕89号）文件有关的要求，结合本地区实际情况，优先选择党中央、国务院和省委、省政府确定的重大战略领域及重点项目发行项目收益专项债券，重点考虑在重大区域发展以及乡村振兴、脱贫攻坚、生态环保、水电气热等公用事业、公立医院、公立学校、交通、水利、文化旅游、工业园区、市政基础设施等领域选择符合条件的新建、在建和改建项目。</w:t>
      </w:r>
    </w:p>
    <w:p w14:paraId="6B96F379">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近年来，顺庆区委、区政府深入贯彻落实教育优先发展战略，以优质均衡发展为引领，统筹推进教育资源扩容提质。通过科学规划教育布局，持续加大教育投入。2024年，顺庆区精心规划并稳步实施了将军学校、五星中学、涪江路小学清泉校区等5个新（改）扩建教育项目。预计这些项目落成后，将新增校舍面积约8万平方米，新增学位6960个。体现了对教育资源供给能力的全面增强。培养技术技能人才是这一战略的重要延伸，亟须通过提升职业教育实践教学质量，构建高素质技能型人才培养体系，完善教育配套基础设施建设，为区域经济社会发展提供坚实人才支撑。</w:t>
      </w:r>
    </w:p>
    <w:p w14:paraId="7CB091AB">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的建设有力地落实了《四川省“十四五”教育发展规划》《南充市教育体育事业“十四五”发展规划》等文件。本项目的实施，可以进一步完善顺庆区职业学校布局，优化南充市顺庆区教育配套基础设施建设。该项目不仅是培养高素质职业技能型人才的重要平台，更是满足区域经济发展对专业人才的迫切需求，同时也有助于提升公民的整体素质水平，为顺庆区的长远发展注入源源不断的动力，对推动区域社会经济全面进步具有深远意义。</w:t>
      </w:r>
    </w:p>
    <w:p w14:paraId="3693843A">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满足《财政部发展改革委人民银行银监会关于贯彻国务院关于加强地方政府融资平台公司管理有关问题的通知相关事项的通知》（财预〔2010〕412号）规定，“公益性项目”是指为社会公共利益服务、不以盈利为目的，且不能或不宜通过市场化方式运作的政府投资项目，如市政设施、公共交通等基础设施项目，以及公共卫生、基础科研、保障性安居工程等基本建设项目。</w:t>
      </w:r>
    </w:p>
    <w:p w14:paraId="6520D4C6">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lang w:val="en-US" w:eastAsia="zh-CN"/>
        </w:rPr>
        <w:t>因此，项目具备公益性、共享性、服务性特征，符合申报专项债券的行业领域要求。</w:t>
      </w:r>
    </w:p>
    <w:p w14:paraId="0EE0F2D4">
      <w:pPr>
        <w:spacing w:line="580" w:lineRule="exact"/>
        <w:ind w:firstLine="640" w:firstLineChars="200"/>
        <w:rPr>
          <w:rFonts w:ascii="仿宋" w:hAnsi="仿宋" w:eastAsia="仿宋" w:cs="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416" w:bottom="1440" w:left="1800" w:header="851" w:footer="992" w:gutter="0"/>
          <w:pgNumType w:start="1"/>
          <w:cols w:space="425" w:num="1"/>
          <w:docGrid w:type="lines" w:linePitch="312" w:charSpace="0"/>
        </w:sectPr>
      </w:pPr>
    </w:p>
    <w:p w14:paraId="5326E55C">
      <w:pPr>
        <w:numPr>
          <w:ilvl w:val="0"/>
          <w:numId w:val="1"/>
        </w:numPr>
        <w:spacing w:line="580" w:lineRule="exact"/>
        <w:outlineLvl w:val="0"/>
        <w:rPr>
          <w:rStyle w:val="19"/>
          <w:rFonts w:ascii="仿宋" w:hAnsi="仿宋" w:eastAsia="仿宋"/>
          <w:b/>
          <w:bCs/>
          <w:sz w:val="32"/>
          <w:szCs w:val="32"/>
        </w:rPr>
      </w:pPr>
      <w:r>
        <w:rPr>
          <w:rStyle w:val="19"/>
          <w:rFonts w:ascii="仿宋" w:hAnsi="仿宋" w:eastAsia="仿宋"/>
          <w:b/>
          <w:bCs/>
          <w:sz w:val="32"/>
          <w:szCs w:val="32"/>
        </w:rPr>
        <w:t>经济社会效益分析</w:t>
      </w:r>
    </w:p>
    <w:p w14:paraId="4AC761C6">
      <w:pPr>
        <w:pStyle w:val="3"/>
        <w:spacing w:line="580" w:lineRule="exact"/>
        <w:rPr>
          <w:rFonts w:ascii="仿宋" w:hAnsi="仿宋" w:eastAsia="仿宋"/>
        </w:rPr>
      </w:pPr>
      <w:r>
        <w:rPr>
          <w:rFonts w:ascii="仿宋" w:hAnsi="仿宋" w:eastAsia="仿宋"/>
        </w:rPr>
        <w:t>（一）经济效益</w:t>
      </w:r>
    </w:p>
    <w:p w14:paraId="51BD7E90">
      <w:pPr>
        <w:spacing w:line="580" w:lineRule="exact"/>
        <w:ind w:firstLine="640" w:firstLineChars="200"/>
        <w:rPr>
          <w:rFonts w:hint="eastAsia" w:ascii="仿宋" w:hAnsi="仿宋" w:eastAsia="仿宋" w:cs="仿宋_GB2312"/>
          <w:sz w:val="32"/>
          <w:szCs w:val="32"/>
          <w:lang w:val="en-US" w:eastAsia="zh-CN"/>
        </w:rPr>
      </w:pPr>
      <w:bookmarkStart w:id="8" w:name="（三）经济效益。"/>
      <w:bookmarkEnd w:id="8"/>
      <w:bookmarkStart w:id="9" w:name="1.促进城市建设"/>
      <w:bookmarkEnd w:id="9"/>
      <w:bookmarkStart w:id="10" w:name="_bookmark13"/>
      <w:bookmarkEnd w:id="10"/>
      <w:r>
        <w:rPr>
          <w:rFonts w:hint="eastAsia" w:ascii="仿宋" w:hAnsi="仿宋" w:eastAsia="仿宋" w:cs="仿宋_GB2312"/>
          <w:sz w:val="32"/>
          <w:szCs w:val="32"/>
          <w:lang w:val="en-US" w:eastAsia="zh-CN"/>
        </w:rPr>
        <w:t>本项目经济效益体现在优质的实训基地能够显著提升南充市建华高级职业中学的教学质量，凭借其先进的设施与实践教学模式，有效提升学校的知名度与美誉度，进而增强学校对学生的吸引力，促使更多学生报考。学生数量的增加不仅会为学校带来学费收入的增长，还将拉动周边餐饮、住宿以及教材教具等相关产业的发展。</w:t>
      </w:r>
    </w:p>
    <w:p w14:paraId="1A5F0712">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在实训基地建设阶段，项目对建筑、装修、设备安装等专业人员产生大量需求，为当地劳动力创造了丰富的短期就业岗位。而在基地建成投入运营后，日常运转需要配备管理人员、实训指导教师、设备维护人员等，从而提供了稳定的长期就业岗位。这些就业岗位的设置，切实有助于缓解当地就业压力，增加居民收入。此外，实训基地培养的学生凭借较强的实践能力与良好的职业素养，毕业后能够顺利进入企业就业，有效增加个人收入。部分学生还能够依托在实训基地积累的丰富经验与精湛技能，投身自主创业行列，带动更多人实现就业，为区域经济发展注入源源不断的新活力</w:t>
      </w:r>
      <w:r>
        <w:rPr>
          <w:rFonts w:hint="eastAsia" w:ascii="仿宋" w:hAnsi="仿宋" w:eastAsia="仿宋" w:cs="仿宋_GB2312"/>
          <w:sz w:val="32"/>
          <w:szCs w:val="32"/>
        </w:rPr>
        <w:t>。</w:t>
      </w:r>
    </w:p>
    <w:p w14:paraId="636595BB">
      <w:pPr>
        <w:pStyle w:val="3"/>
        <w:spacing w:line="580" w:lineRule="exact"/>
        <w:ind w:firstLine="643"/>
        <w:rPr>
          <w:rFonts w:ascii="仿宋" w:hAnsi="仿宋" w:eastAsia="仿宋"/>
        </w:rPr>
      </w:pPr>
      <w:r>
        <w:rPr>
          <w:rFonts w:ascii="仿宋" w:hAnsi="仿宋" w:eastAsia="仿宋"/>
        </w:rPr>
        <w:t>（二）社会效益</w:t>
      </w:r>
    </w:p>
    <w:p w14:paraId="2E434A36">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1、完善区域教育配套基础设施建设，推动顺庆社会经济的发展。</w:t>
      </w:r>
    </w:p>
    <w:p w14:paraId="78093AE5">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的实施，将进一步优化南充市顺庆区教育配套基础设施建设。当下，公民素质的提升以及技术人才的培养成为区域发展的核心驱动力。完善的教育基础设施，能够提供更加优质、全面的教育资源，涵盖基础教育到职业技能培训等各个领域，促使公民在知识储备、思维能力、实践技能等多方面得到提升，进而全面提高公民素质。对于技术人才而言，良好的教育基础设施是其成长的沃土，从先进的实验设备到专业的实训场地，均为技术人才在关键发展时期提供了坚实的硬件支撑，助力其掌握前沿技术，提升专业技能，为顺庆区社会经济的高质量发展源源不断地输送创新型、实干型人才，全方位推动区域经济增长、产业升级与社会进步。</w:t>
      </w:r>
    </w:p>
    <w:p w14:paraId="1017A08A">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2、完善顺庆城市建设规划，促进顺庆经济社会持续发展。</w:t>
      </w:r>
    </w:p>
    <w:p w14:paraId="46E376CF">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可有效完善顺庆区职业学校布局，合理配置教育资源，避免教育资源的过度集中或短缺，使职业教育能够更加均衡、高效地覆盖全区。通过为职业学校学生打造专业、多元的实训平台，充分保障职业学校学生实训权利，让学生在真实或高度仿真的工作环境中锻炼技能，积累实践经验。当这些经过系统实训的高素质职业人才投身于顺庆区的各行各业，将极大地提高劳动生产率，推动企业产品质量提升与服务优化，增强区域产业竞争力。同时，产业的蓬勃发展又会吸引更多的投资与人才流入，形成良性循环，有力地促进顺庆区经济社会的可持续发展，为城市建设规划的完善与升级注入持久动力。</w:t>
      </w:r>
    </w:p>
    <w:p w14:paraId="5E2B5C7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3、推动区域教育水平提升，促进高素质技能人才培养。</w:t>
      </w:r>
    </w:p>
    <w:p w14:paraId="3B214D3B">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致力于为区域培养大批契合产业发展需求的高素质技能型人才，精准对接当地企业对技术工人的迫切需求。在课程设置与教学实践中，紧密围绕区域主导产业与新兴产业发展方向，开设针对性强的专业课程，并配备经验丰富的教师团队与先进的教学设施。培养出的人才还能凭借创新思维与技术积累，为企业的技术创新注入新活力，推动企业不断探索新技术、新工艺，助力区域产业向高端化、智能化方向升级，从而全方位促进区域经济的可持续发展，提升区域整体竞争力。</w:t>
      </w:r>
    </w:p>
    <w:p w14:paraId="6D5B744D">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lang w:val="en-US" w:eastAsia="zh-CN"/>
        </w:rPr>
        <w:t>综上所述，本项目的实施，将会产生良好的经济效益、社会效益，推动地方经济发展和社会进步。</w:t>
      </w:r>
    </w:p>
    <w:p w14:paraId="3A3A372E">
      <w:pPr>
        <w:spacing w:line="580" w:lineRule="exact"/>
        <w:ind w:left="141" w:hanging="141" w:hangingChars="44"/>
        <w:outlineLvl w:val="0"/>
        <w:rPr>
          <w:rStyle w:val="19"/>
          <w:rFonts w:ascii="仿宋" w:hAnsi="仿宋" w:eastAsia="仿宋"/>
          <w:b/>
          <w:bCs/>
          <w:sz w:val="32"/>
          <w:szCs w:val="32"/>
        </w:rPr>
      </w:pPr>
      <w:bookmarkStart w:id="11" w:name="三、项目投资估算及资金筹措方案"/>
      <w:bookmarkEnd w:id="11"/>
      <w:r>
        <w:rPr>
          <w:rStyle w:val="19"/>
          <w:rFonts w:ascii="仿宋" w:hAnsi="仿宋" w:eastAsia="仿宋"/>
          <w:b/>
          <w:bCs/>
          <w:sz w:val="32"/>
          <w:szCs w:val="32"/>
        </w:rPr>
        <w:t>三、项目投资估算及资金筹措方案</w:t>
      </w:r>
    </w:p>
    <w:p w14:paraId="64812B25">
      <w:pPr>
        <w:spacing w:line="580" w:lineRule="exact"/>
        <w:ind w:firstLine="643" w:firstLineChars="200"/>
        <w:outlineLvl w:val="1"/>
        <w:rPr>
          <w:rStyle w:val="19"/>
          <w:rFonts w:ascii="仿宋" w:hAnsi="仿宋" w:eastAsia="仿宋"/>
          <w:b/>
          <w:bCs/>
          <w:sz w:val="32"/>
          <w:szCs w:val="32"/>
        </w:rPr>
      </w:pPr>
      <w:r>
        <w:rPr>
          <w:rStyle w:val="19"/>
          <w:rFonts w:ascii="仿宋" w:hAnsi="仿宋" w:eastAsia="仿宋"/>
          <w:b/>
          <w:bCs/>
          <w:sz w:val="32"/>
          <w:szCs w:val="32"/>
        </w:rPr>
        <w:t>（一）</w:t>
      </w:r>
      <w:r>
        <w:rPr>
          <w:rStyle w:val="19"/>
          <w:rFonts w:ascii="仿宋" w:hAnsi="仿宋" w:eastAsia="仿宋"/>
          <w:b/>
          <w:bCs/>
          <w:sz w:val="32"/>
          <w:szCs w:val="32"/>
        </w:rPr>
        <w:tab/>
      </w:r>
      <w:r>
        <w:rPr>
          <w:rStyle w:val="19"/>
          <w:rFonts w:ascii="仿宋" w:hAnsi="仿宋" w:eastAsia="仿宋"/>
          <w:b/>
          <w:bCs/>
          <w:sz w:val="32"/>
          <w:szCs w:val="32"/>
        </w:rPr>
        <w:t>投资估算</w:t>
      </w:r>
    </w:p>
    <w:p w14:paraId="45EE3270">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本项目总投资为</w:t>
      </w:r>
      <w:r>
        <w:rPr>
          <w:rFonts w:hint="eastAsia" w:ascii="仿宋" w:hAnsi="仿宋" w:eastAsia="仿宋" w:cs="仿宋_GB2312"/>
          <w:sz w:val="32"/>
          <w:szCs w:val="32"/>
          <w:lang w:val="en-US" w:eastAsia="zh-CN"/>
        </w:rPr>
        <w:t>8600.00</w:t>
      </w:r>
      <w:r>
        <w:rPr>
          <w:rFonts w:hint="eastAsia" w:ascii="仿宋" w:hAnsi="仿宋" w:eastAsia="仿宋" w:cs="仿宋_GB2312"/>
          <w:sz w:val="32"/>
          <w:szCs w:val="32"/>
        </w:rPr>
        <w:t>万元，其中，工程费</w:t>
      </w:r>
      <w:r>
        <w:rPr>
          <w:rFonts w:hint="eastAsia" w:ascii="仿宋" w:hAnsi="仿宋" w:eastAsia="仿宋" w:cs="仿宋_GB2312"/>
          <w:sz w:val="32"/>
          <w:szCs w:val="32"/>
          <w:lang w:val="en-US" w:eastAsia="zh-CN"/>
        </w:rPr>
        <w:t>6857.99</w:t>
      </w:r>
      <w:r>
        <w:rPr>
          <w:rFonts w:hint="eastAsia" w:ascii="仿宋" w:hAnsi="仿宋" w:eastAsia="仿宋" w:cs="仿宋_GB2312"/>
          <w:sz w:val="32"/>
          <w:szCs w:val="32"/>
        </w:rPr>
        <w:t>万元，工程建设其他费用</w:t>
      </w:r>
      <w:r>
        <w:rPr>
          <w:rFonts w:hint="eastAsia" w:ascii="仿宋" w:hAnsi="仿宋" w:eastAsia="仿宋" w:cs="仿宋_GB2312"/>
          <w:sz w:val="32"/>
          <w:szCs w:val="32"/>
          <w:lang w:val="en-US" w:eastAsia="zh-CN"/>
        </w:rPr>
        <w:t>796.45</w:t>
      </w:r>
      <w:r>
        <w:rPr>
          <w:rFonts w:hint="eastAsia" w:ascii="仿宋" w:hAnsi="仿宋" w:eastAsia="仿宋" w:cs="仿宋_GB2312"/>
          <w:sz w:val="32"/>
          <w:szCs w:val="32"/>
        </w:rPr>
        <w:t>万元，预备费</w:t>
      </w:r>
      <w:r>
        <w:rPr>
          <w:rFonts w:hint="eastAsia" w:ascii="仿宋" w:hAnsi="仿宋" w:eastAsia="仿宋" w:cs="仿宋_GB2312"/>
          <w:sz w:val="32"/>
          <w:szCs w:val="32"/>
          <w:lang w:val="en-US" w:eastAsia="zh-CN"/>
        </w:rPr>
        <w:t>612.36</w:t>
      </w:r>
      <w:r>
        <w:rPr>
          <w:rFonts w:hint="eastAsia" w:ascii="仿宋" w:hAnsi="仿宋" w:eastAsia="仿宋" w:cs="仿宋_GB2312"/>
          <w:sz w:val="32"/>
          <w:szCs w:val="32"/>
        </w:rPr>
        <w:t>万元，建设期利息</w:t>
      </w:r>
      <w:r>
        <w:rPr>
          <w:rFonts w:hint="eastAsia" w:ascii="仿宋" w:hAnsi="仿宋" w:eastAsia="仿宋" w:cs="仿宋_GB2312"/>
          <w:sz w:val="32"/>
          <w:szCs w:val="32"/>
          <w:lang w:val="en-US" w:eastAsia="zh-CN"/>
        </w:rPr>
        <w:t>326.40</w:t>
      </w:r>
      <w:r>
        <w:rPr>
          <w:rFonts w:hint="eastAsia" w:ascii="仿宋" w:hAnsi="仿宋" w:eastAsia="仿宋" w:cs="仿宋_GB2312"/>
          <w:sz w:val="32"/>
          <w:szCs w:val="32"/>
        </w:rPr>
        <w:t>万元，债券发行费</w:t>
      </w:r>
      <w:r>
        <w:rPr>
          <w:rFonts w:hint="eastAsia" w:ascii="仿宋" w:hAnsi="仿宋" w:eastAsia="仿宋" w:cs="仿宋_GB2312"/>
          <w:sz w:val="32"/>
          <w:szCs w:val="32"/>
          <w:lang w:val="en-US" w:eastAsia="zh-CN"/>
        </w:rPr>
        <w:t>6.80</w:t>
      </w:r>
      <w:r>
        <w:rPr>
          <w:rFonts w:hint="eastAsia" w:ascii="仿宋" w:hAnsi="仿宋" w:eastAsia="仿宋" w:cs="仿宋_GB2312"/>
          <w:sz w:val="32"/>
          <w:szCs w:val="32"/>
        </w:rPr>
        <w:t>万元。（建设期利率按3.2%，发行费用按发行金额0.1%计算）</w:t>
      </w:r>
      <w:r>
        <w:rPr>
          <w:rFonts w:ascii="仿宋" w:hAnsi="仿宋" w:eastAsia="仿宋" w:cs="仿宋_GB2312"/>
          <w:sz w:val="32"/>
          <w:szCs w:val="32"/>
        </w:rPr>
        <w:t>。</w:t>
      </w:r>
    </w:p>
    <w:p w14:paraId="3C8670D1">
      <w:pPr>
        <w:spacing w:line="580" w:lineRule="exact"/>
        <w:ind w:firstLine="643" w:firstLineChars="200"/>
        <w:outlineLvl w:val="1"/>
        <w:rPr>
          <w:rStyle w:val="19"/>
          <w:rFonts w:ascii="仿宋" w:hAnsi="仿宋" w:eastAsia="仿宋"/>
          <w:b/>
          <w:bCs/>
          <w:sz w:val="32"/>
          <w:szCs w:val="32"/>
        </w:rPr>
      </w:pPr>
      <w:r>
        <w:rPr>
          <w:rStyle w:val="19"/>
          <w:rFonts w:ascii="仿宋" w:hAnsi="仿宋" w:eastAsia="仿宋"/>
          <w:b/>
          <w:bCs/>
          <w:sz w:val="32"/>
          <w:szCs w:val="32"/>
        </w:rPr>
        <w:t>（二）资金筹措方案</w:t>
      </w:r>
    </w:p>
    <w:p w14:paraId="33591382">
      <w:pPr>
        <w:spacing w:line="580" w:lineRule="exact"/>
        <w:ind w:firstLine="643" w:firstLineChars="200"/>
        <w:outlineLvl w:val="2"/>
        <w:rPr>
          <w:rStyle w:val="19"/>
          <w:rFonts w:ascii="仿宋" w:hAnsi="仿宋" w:eastAsia="仿宋"/>
          <w:b/>
          <w:bCs/>
          <w:sz w:val="32"/>
          <w:szCs w:val="32"/>
        </w:rPr>
      </w:pPr>
      <w:r>
        <w:rPr>
          <w:rStyle w:val="19"/>
          <w:rFonts w:ascii="仿宋" w:hAnsi="仿宋" w:eastAsia="仿宋"/>
          <w:b/>
          <w:bCs/>
          <w:sz w:val="32"/>
          <w:szCs w:val="32"/>
        </w:rPr>
        <w:t>1. 资金筹集情况</w:t>
      </w:r>
    </w:p>
    <w:p w14:paraId="66B64B4E">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本项目总投资</w:t>
      </w:r>
      <w:r>
        <w:rPr>
          <w:rFonts w:hint="eastAsia" w:ascii="仿宋" w:hAnsi="仿宋" w:eastAsia="仿宋" w:cs="仿宋_GB2312"/>
          <w:sz w:val="32"/>
          <w:szCs w:val="32"/>
          <w:lang w:val="en-US" w:eastAsia="zh-CN"/>
        </w:rPr>
        <w:t>8600.00</w:t>
      </w:r>
      <w:r>
        <w:rPr>
          <w:rFonts w:hint="eastAsia" w:ascii="仿宋" w:hAnsi="仿宋" w:eastAsia="仿宋" w:cs="仿宋_GB2312"/>
          <w:sz w:val="32"/>
          <w:szCs w:val="32"/>
        </w:rPr>
        <w:t>万元，其资金来源为地方专项债券资金及</w:t>
      </w:r>
      <w:r>
        <w:rPr>
          <w:rFonts w:hint="eastAsia" w:ascii="仿宋" w:hAnsi="仿宋" w:eastAsia="仿宋" w:cs="仿宋_GB2312"/>
          <w:sz w:val="32"/>
          <w:szCs w:val="32"/>
          <w:lang w:val="en-US" w:eastAsia="zh-CN"/>
        </w:rPr>
        <w:t>财政资金</w:t>
      </w:r>
      <w:r>
        <w:rPr>
          <w:rFonts w:hint="eastAsia" w:ascii="仿宋" w:hAnsi="仿宋" w:eastAsia="仿宋" w:cs="仿宋_GB2312"/>
          <w:sz w:val="32"/>
          <w:szCs w:val="32"/>
        </w:rPr>
        <w:t>。</w:t>
      </w:r>
    </w:p>
    <w:p w14:paraId="4BCFAF74">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项目资本金：为</w:t>
      </w:r>
      <w:r>
        <w:rPr>
          <w:rFonts w:hint="eastAsia" w:ascii="仿宋" w:hAnsi="仿宋" w:eastAsia="仿宋" w:cs="仿宋_GB2312"/>
          <w:sz w:val="32"/>
          <w:szCs w:val="32"/>
          <w:lang w:val="en-US" w:eastAsia="zh-CN"/>
        </w:rPr>
        <w:t>1800</w:t>
      </w:r>
      <w:r>
        <w:rPr>
          <w:rFonts w:hint="eastAsia" w:ascii="仿宋" w:hAnsi="仿宋" w:eastAsia="仿宋" w:cs="仿宋_GB2312"/>
          <w:sz w:val="32"/>
          <w:szCs w:val="32"/>
        </w:rPr>
        <w:t>.00万元，占项目总投资的20.93%，</w:t>
      </w:r>
      <w:r>
        <w:rPr>
          <w:rFonts w:hint="eastAsia" w:ascii="仿宋" w:hAnsi="仿宋" w:eastAsia="仿宋" w:cs="仿宋_GB2312"/>
          <w:sz w:val="32"/>
          <w:szCs w:val="32"/>
          <w:highlight w:val="none"/>
          <w:lang w:val="en-US" w:eastAsia="zh-CN"/>
        </w:rPr>
        <w:t>其资本金来源于财政资金</w:t>
      </w:r>
      <w:r>
        <w:rPr>
          <w:rFonts w:hint="eastAsia" w:ascii="仿宋" w:hAnsi="仿宋" w:eastAsia="仿宋" w:cs="仿宋_GB2312"/>
          <w:sz w:val="32"/>
          <w:szCs w:val="32"/>
        </w:rPr>
        <w:t>。</w:t>
      </w:r>
    </w:p>
    <w:p w14:paraId="4EC95E64">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申请专项债券资金：计划发行项目收益专项债券融资额度</w:t>
      </w:r>
      <w:r>
        <w:rPr>
          <w:rFonts w:hint="eastAsia" w:ascii="仿宋" w:hAnsi="仿宋" w:eastAsia="仿宋" w:cs="仿宋_GB2312"/>
          <w:sz w:val="32"/>
          <w:szCs w:val="32"/>
          <w:lang w:val="en-US" w:eastAsia="zh-CN"/>
        </w:rPr>
        <w:t>6800.00</w:t>
      </w:r>
      <w:r>
        <w:rPr>
          <w:rFonts w:hint="eastAsia" w:ascii="仿宋" w:hAnsi="仿宋" w:eastAsia="仿宋" w:cs="仿宋_GB2312"/>
          <w:sz w:val="32"/>
          <w:szCs w:val="32"/>
        </w:rPr>
        <w:t>万元，占项目总投资的</w:t>
      </w:r>
      <w:r>
        <w:rPr>
          <w:rFonts w:hint="eastAsia" w:ascii="仿宋" w:hAnsi="仿宋" w:eastAsia="仿宋" w:cs="仿宋_GB2312"/>
          <w:sz w:val="32"/>
          <w:szCs w:val="32"/>
          <w:lang w:val="en-US" w:eastAsia="zh-CN"/>
        </w:rPr>
        <w:t>79.07</w:t>
      </w:r>
      <w:r>
        <w:rPr>
          <w:rFonts w:hint="eastAsia" w:ascii="仿宋" w:hAnsi="仿宋" w:eastAsia="仿宋" w:cs="仿宋_GB2312"/>
          <w:sz w:val="32"/>
          <w:szCs w:val="32"/>
        </w:rPr>
        <w:t>%</w:t>
      </w:r>
      <w:r>
        <w:rPr>
          <w:rFonts w:ascii="仿宋" w:hAnsi="仿宋" w:eastAsia="仿宋" w:cs="仿宋_GB2312"/>
          <w:sz w:val="32"/>
          <w:szCs w:val="32"/>
        </w:rPr>
        <w:t>。</w:t>
      </w:r>
    </w:p>
    <w:p w14:paraId="2F50E539">
      <w:pPr>
        <w:numPr>
          <w:ilvl w:val="0"/>
          <w:numId w:val="2"/>
        </w:numPr>
        <w:spacing w:line="580" w:lineRule="exact"/>
        <w:ind w:firstLine="643" w:firstLineChars="200"/>
        <w:outlineLvl w:val="2"/>
        <w:rPr>
          <w:rStyle w:val="19"/>
          <w:rFonts w:ascii="仿宋" w:hAnsi="仿宋" w:eastAsia="仿宋"/>
          <w:b/>
          <w:bCs/>
          <w:sz w:val="32"/>
          <w:szCs w:val="32"/>
        </w:rPr>
      </w:pPr>
      <w:r>
        <w:rPr>
          <w:rStyle w:val="19"/>
          <w:rFonts w:ascii="仿宋" w:hAnsi="仿宋" w:eastAsia="仿宋"/>
          <w:b/>
          <w:bCs/>
          <w:sz w:val="32"/>
          <w:szCs w:val="32"/>
        </w:rPr>
        <w:t>资金使用计划</w:t>
      </w:r>
    </w:p>
    <w:p w14:paraId="681C4EE8">
      <w:pPr>
        <w:bidi w:val="0"/>
        <w:jc w:val="center"/>
        <w:rPr>
          <w:b/>
          <w:bCs/>
        </w:rPr>
      </w:pPr>
      <w:r>
        <w:rPr>
          <w:rFonts w:hint="eastAsia"/>
          <w:b/>
          <w:bCs/>
          <w:lang w:val="en-US" w:eastAsia="zh-CN"/>
        </w:rPr>
        <w:t>资金使用计划表</w:t>
      </w:r>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859"/>
        <w:gridCol w:w="3781"/>
        <w:gridCol w:w="1388"/>
        <w:gridCol w:w="1420"/>
        <w:gridCol w:w="1402"/>
      </w:tblGrid>
      <w:tr w14:paraId="706A1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vMerge w:val="restart"/>
            <w:tcBorders>
              <w:top w:val="single" w:color="000000" w:sz="4" w:space="0"/>
              <w:left w:val="single" w:color="000000" w:sz="4" w:space="0"/>
              <w:bottom w:val="single" w:color="000000" w:sz="4" w:space="0"/>
              <w:right w:val="single" w:color="000000" w:sz="4" w:space="0"/>
            </w:tcBorders>
            <w:noWrap/>
            <w:vAlign w:val="center"/>
          </w:tcPr>
          <w:p w14:paraId="5FE7D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序号</w:t>
            </w:r>
          </w:p>
        </w:tc>
        <w:tc>
          <w:tcPr>
            <w:tcW w:w="2135" w:type="pct"/>
            <w:vMerge w:val="restart"/>
            <w:tcBorders>
              <w:top w:val="single" w:color="000000" w:sz="4" w:space="0"/>
              <w:left w:val="single" w:color="000000" w:sz="4" w:space="0"/>
              <w:bottom w:val="single" w:color="000000" w:sz="4" w:space="0"/>
              <w:right w:val="single" w:color="000000" w:sz="4" w:space="0"/>
            </w:tcBorders>
            <w:noWrap w:val="0"/>
            <w:vAlign w:val="center"/>
          </w:tcPr>
          <w:p w14:paraId="4B9A5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项  目</w:t>
            </w:r>
          </w:p>
        </w:tc>
        <w:tc>
          <w:tcPr>
            <w:tcW w:w="784" w:type="pct"/>
            <w:vMerge w:val="restart"/>
            <w:tcBorders>
              <w:top w:val="single" w:color="000000" w:sz="4" w:space="0"/>
              <w:left w:val="single" w:color="000000" w:sz="4" w:space="0"/>
              <w:bottom w:val="single" w:color="000000" w:sz="4" w:space="0"/>
              <w:right w:val="single" w:color="000000" w:sz="4" w:space="0"/>
            </w:tcBorders>
            <w:noWrap/>
            <w:vAlign w:val="center"/>
          </w:tcPr>
          <w:p w14:paraId="73130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合计</w:t>
            </w:r>
          </w:p>
        </w:tc>
        <w:tc>
          <w:tcPr>
            <w:tcW w:w="1594" w:type="pct"/>
            <w:gridSpan w:val="2"/>
            <w:tcBorders>
              <w:top w:val="single" w:color="000000" w:sz="4" w:space="0"/>
              <w:left w:val="single" w:color="000000" w:sz="4" w:space="0"/>
              <w:bottom w:val="single" w:color="000000" w:sz="4" w:space="0"/>
              <w:right w:val="single" w:color="000000" w:sz="4" w:space="0"/>
            </w:tcBorders>
            <w:noWrap/>
            <w:vAlign w:val="center"/>
          </w:tcPr>
          <w:p w14:paraId="76FF9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建设期</w:t>
            </w:r>
          </w:p>
        </w:tc>
      </w:tr>
      <w:tr w14:paraId="67FC7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vMerge w:val="continue"/>
            <w:tcBorders>
              <w:top w:val="single" w:color="000000" w:sz="4" w:space="0"/>
              <w:left w:val="single" w:color="000000" w:sz="4" w:space="0"/>
              <w:bottom w:val="single" w:color="000000" w:sz="4" w:space="0"/>
              <w:right w:val="single" w:color="000000" w:sz="4" w:space="0"/>
            </w:tcBorders>
            <w:noWrap/>
            <w:vAlign w:val="center"/>
          </w:tcPr>
          <w:p w14:paraId="602080BC">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bCs/>
                <w:i w:val="0"/>
                <w:iCs w:val="0"/>
                <w:color w:val="000000"/>
                <w:sz w:val="20"/>
                <w:szCs w:val="20"/>
                <w:u w:val="none"/>
              </w:rPr>
            </w:pPr>
          </w:p>
        </w:tc>
        <w:tc>
          <w:tcPr>
            <w:tcW w:w="213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1B94FF7">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bCs/>
                <w:i w:val="0"/>
                <w:iCs w:val="0"/>
                <w:color w:val="000000"/>
                <w:sz w:val="20"/>
                <w:szCs w:val="20"/>
                <w:u w:val="none"/>
              </w:rPr>
            </w:pPr>
          </w:p>
        </w:tc>
        <w:tc>
          <w:tcPr>
            <w:tcW w:w="784" w:type="pct"/>
            <w:vMerge w:val="continue"/>
            <w:tcBorders>
              <w:top w:val="single" w:color="000000" w:sz="4" w:space="0"/>
              <w:left w:val="single" w:color="000000" w:sz="4" w:space="0"/>
              <w:bottom w:val="single" w:color="000000" w:sz="4" w:space="0"/>
              <w:right w:val="single" w:color="000000" w:sz="4" w:space="0"/>
            </w:tcBorders>
            <w:noWrap/>
            <w:vAlign w:val="center"/>
          </w:tcPr>
          <w:p w14:paraId="06125BC3">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bCs/>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noWrap w:val="0"/>
            <w:vAlign w:val="center"/>
          </w:tcPr>
          <w:p w14:paraId="1A746C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第1年</w:t>
            </w:r>
          </w:p>
        </w:tc>
        <w:tc>
          <w:tcPr>
            <w:tcW w:w="791" w:type="pct"/>
            <w:tcBorders>
              <w:top w:val="single" w:color="000000" w:sz="4" w:space="0"/>
              <w:left w:val="single" w:color="000000" w:sz="4" w:space="0"/>
              <w:bottom w:val="single" w:color="000000" w:sz="4" w:space="0"/>
              <w:right w:val="single" w:color="000000" w:sz="4" w:space="0"/>
            </w:tcBorders>
            <w:noWrap w:val="0"/>
            <w:vAlign w:val="center"/>
          </w:tcPr>
          <w:p w14:paraId="4A6FA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第2年</w:t>
            </w:r>
          </w:p>
        </w:tc>
      </w:tr>
      <w:tr w14:paraId="193F1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35ADED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一</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34C7EC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资金使用</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08E6E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 xml:space="preserve">8600.00 </w:t>
            </w:r>
          </w:p>
        </w:tc>
        <w:tc>
          <w:tcPr>
            <w:tcW w:w="802" w:type="pct"/>
            <w:tcBorders>
              <w:top w:val="single" w:color="000000" w:sz="4" w:space="0"/>
              <w:left w:val="single" w:color="000000" w:sz="4" w:space="0"/>
              <w:bottom w:val="single" w:color="000000" w:sz="4" w:space="0"/>
              <w:right w:val="single" w:color="000000" w:sz="4" w:space="0"/>
            </w:tcBorders>
            <w:noWrap/>
            <w:vAlign w:val="center"/>
          </w:tcPr>
          <w:p w14:paraId="089F6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 xml:space="preserve">4300.00 </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1970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 xml:space="preserve">4300.00 </w:t>
            </w:r>
          </w:p>
        </w:tc>
      </w:tr>
      <w:tr w14:paraId="06FA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694FD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1</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0C0836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建设投资</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79CCA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8266.80 </w:t>
            </w:r>
          </w:p>
        </w:tc>
        <w:tc>
          <w:tcPr>
            <w:tcW w:w="802" w:type="pct"/>
            <w:tcBorders>
              <w:top w:val="single" w:color="000000" w:sz="4" w:space="0"/>
              <w:left w:val="single" w:color="000000" w:sz="4" w:space="0"/>
              <w:bottom w:val="single" w:color="000000" w:sz="4" w:space="0"/>
              <w:right w:val="single" w:color="000000" w:sz="4" w:space="0"/>
            </w:tcBorders>
            <w:noWrap/>
            <w:vAlign w:val="center"/>
          </w:tcPr>
          <w:p w14:paraId="7D950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4187.80 </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2A874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4079.00 </w:t>
            </w:r>
          </w:p>
        </w:tc>
      </w:tr>
      <w:tr w14:paraId="7F234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14673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062211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建设期专项债券利息</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40E83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326.40 </w:t>
            </w:r>
          </w:p>
        </w:tc>
        <w:tc>
          <w:tcPr>
            <w:tcW w:w="802" w:type="pct"/>
            <w:tcBorders>
              <w:top w:val="single" w:color="000000" w:sz="4" w:space="0"/>
              <w:left w:val="single" w:color="000000" w:sz="4" w:space="0"/>
              <w:bottom w:val="single" w:color="000000" w:sz="4" w:space="0"/>
              <w:right w:val="single" w:color="000000" w:sz="4" w:space="0"/>
            </w:tcBorders>
            <w:noWrap/>
            <w:vAlign w:val="center"/>
          </w:tcPr>
          <w:p w14:paraId="6B3A3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108.80 </w:t>
            </w:r>
          </w:p>
        </w:tc>
        <w:tc>
          <w:tcPr>
            <w:tcW w:w="791" w:type="pct"/>
            <w:tcBorders>
              <w:top w:val="single" w:color="000000" w:sz="4" w:space="0"/>
              <w:left w:val="single" w:color="000000" w:sz="4" w:space="0"/>
              <w:bottom w:val="single" w:color="000000" w:sz="4" w:space="0"/>
              <w:right w:val="single" w:color="000000" w:sz="4" w:space="0"/>
            </w:tcBorders>
            <w:noWrap w:val="0"/>
            <w:vAlign w:val="center"/>
          </w:tcPr>
          <w:p w14:paraId="4B8EF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217.60 </w:t>
            </w:r>
          </w:p>
        </w:tc>
      </w:tr>
      <w:tr w14:paraId="14712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33F108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3</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0A180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债券发行费用</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6845C9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6.80 </w:t>
            </w:r>
          </w:p>
        </w:tc>
        <w:tc>
          <w:tcPr>
            <w:tcW w:w="802" w:type="pct"/>
            <w:tcBorders>
              <w:top w:val="single" w:color="000000" w:sz="4" w:space="0"/>
              <w:left w:val="single" w:color="000000" w:sz="4" w:space="0"/>
              <w:bottom w:val="single" w:color="000000" w:sz="4" w:space="0"/>
              <w:right w:val="single" w:color="000000" w:sz="4" w:space="0"/>
            </w:tcBorders>
            <w:noWrap/>
            <w:vAlign w:val="center"/>
          </w:tcPr>
          <w:p w14:paraId="06C75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3.40 </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06B8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3.40 </w:t>
            </w:r>
          </w:p>
        </w:tc>
      </w:tr>
      <w:tr w14:paraId="648EA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3E63D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二</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12845D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资金筹措</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78317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 xml:space="preserve">8600.00 </w:t>
            </w:r>
          </w:p>
        </w:tc>
        <w:tc>
          <w:tcPr>
            <w:tcW w:w="802" w:type="pct"/>
            <w:tcBorders>
              <w:top w:val="single" w:color="000000" w:sz="4" w:space="0"/>
              <w:left w:val="single" w:color="000000" w:sz="4" w:space="0"/>
              <w:bottom w:val="single" w:color="000000" w:sz="4" w:space="0"/>
              <w:right w:val="single" w:color="000000" w:sz="4" w:space="0"/>
            </w:tcBorders>
            <w:noWrap/>
            <w:vAlign w:val="center"/>
          </w:tcPr>
          <w:p w14:paraId="397C69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 xml:space="preserve">4300.00 </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30496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 xml:space="preserve">4300.00 </w:t>
            </w:r>
          </w:p>
        </w:tc>
      </w:tr>
      <w:tr w14:paraId="4E852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177BB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1</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0D8FA9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项目资本金</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B244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1800.00 </w:t>
            </w:r>
          </w:p>
        </w:tc>
        <w:tc>
          <w:tcPr>
            <w:tcW w:w="802" w:type="pct"/>
            <w:tcBorders>
              <w:top w:val="single" w:color="000000" w:sz="4" w:space="0"/>
              <w:left w:val="single" w:color="000000" w:sz="4" w:space="0"/>
              <w:bottom w:val="single" w:color="000000" w:sz="4" w:space="0"/>
              <w:right w:val="single" w:color="000000" w:sz="4" w:space="0"/>
            </w:tcBorders>
            <w:noWrap w:val="0"/>
            <w:vAlign w:val="center"/>
          </w:tcPr>
          <w:p w14:paraId="459299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900.00 </w:t>
            </w:r>
          </w:p>
        </w:tc>
        <w:tc>
          <w:tcPr>
            <w:tcW w:w="791" w:type="pct"/>
            <w:tcBorders>
              <w:top w:val="single" w:color="000000" w:sz="4" w:space="0"/>
              <w:left w:val="single" w:color="000000" w:sz="4" w:space="0"/>
              <w:bottom w:val="single" w:color="000000" w:sz="4" w:space="0"/>
              <w:right w:val="single" w:color="000000" w:sz="4" w:space="0"/>
            </w:tcBorders>
            <w:noWrap w:val="0"/>
            <w:vAlign w:val="center"/>
          </w:tcPr>
          <w:p w14:paraId="7BD35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900.00 </w:t>
            </w:r>
          </w:p>
        </w:tc>
      </w:tr>
      <w:tr w14:paraId="52E2F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485" w:type="pct"/>
            <w:tcBorders>
              <w:top w:val="single" w:color="000000" w:sz="4" w:space="0"/>
              <w:left w:val="single" w:color="000000" w:sz="4" w:space="0"/>
              <w:bottom w:val="single" w:color="000000" w:sz="4" w:space="0"/>
              <w:right w:val="single" w:color="000000" w:sz="4" w:space="0"/>
            </w:tcBorders>
            <w:noWrap/>
            <w:vAlign w:val="center"/>
          </w:tcPr>
          <w:p w14:paraId="04B04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w:t>
            </w:r>
          </w:p>
        </w:tc>
        <w:tc>
          <w:tcPr>
            <w:tcW w:w="2135" w:type="pct"/>
            <w:tcBorders>
              <w:top w:val="single" w:color="000000" w:sz="4" w:space="0"/>
              <w:left w:val="single" w:color="000000" w:sz="4" w:space="0"/>
              <w:bottom w:val="single" w:color="000000" w:sz="4" w:space="0"/>
              <w:right w:val="single" w:color="000000" w:sz="4" w:space="0"/>
            </w:tcBorders>
            <w:noWrap w:val="0"/>
            <w:vAlign w:val="center"/>
          </w:tcPr>
          <w:p w14:paraId="5AB76D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专项债券</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6831C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6800.00 </w:t>
            </w:r>
          </w:p>
        </w:tc>
        <w:tc>
          <w:tcPr>
            <w:tcW w:w="802" w:type="pct"/>
            <w:tcBorders>
              <w:top w:val="single" w:color="000000" w:sz="4" w:space="0"/>
              <w:left w:val="single" w:color="000000" w:sz="4" w:space="0"/>
              <w:bottom w:val="single" w:color="000000" w:sz="4" w:space="0"/>
              <w:right w:val="single" w:color="000000" w:sz="4" w:space="0"/>
            </w:tcBorders>
            <w:noWrap/>
            <w:vAlign w:val="center"/>
          </w:tcPr>
          <w:p w14:paraId="6C0ED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3400.00 </w:t>
            </w:r>
          </w:p>
        </w:tc>
        <w:tc>
          <w:tcPr>
            <w:tcW w:w="791" w:type="pct"/>
            <w:tcBorders>
              <w:top w:val="single" w:color="000000" w:sz="4" w:space="0"/>
              <w:left w:val="single" w:color="000000" w:sz="4" w:space="0"/>
              <w:bottom w:val="single" w:color="000000" w:sz="4" w:space="0"/>
              <w:right w:val="single" w:color="000000" w:sz="4" w:space="0"/>
            </w:tcBorders>
            <w:noWrap w:val="0"/>
            <w:vAlign w:val="center"/>
          </w:tcPr>
          <w:p w14:paraId="3CAF6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 xml:space="preserve">3400.00 </w:t>
            </w:r>
          </w:p>
        </w:tc>
      </w:tr>
    </w:tbl>
    <w:p w14:paraId="5CCFFD21">
      <w:pPr>
        <w:spacing w:line="580" w:lineRule="exact"/>
        <w:ind w:leftChars="-67" w:hanging="141" w:hangingChars="44"/>
        <w:outlineLvl w:val="0"/>
        <w:rPr>
          <w:rStyle w:val="19"/>
          <w:rFonts w:ascii="仿宋" w:hAnsi="仿宋" w:eastAsia="仿宋"/>
          <w:b/>
          <w:bCs/>
          <w:sz w:val="32"/>
          <w:szCs w:val="32"/>
        </w:rPr>
      </w:pPr>
      <w:r>
        <w:rPr>
          <w:rStyle w:val="19"/>
          <w:rFonts w:ascii="仿宋" w:hAnsi="仿宋" w:eastAsia="仿宋"/>
          <w:b/>
          <w:bCs/>
          <w:sz w:val="32"/>
          <w:szCs w:val="32"/>
        </w:rPr>
        <w:t>四、项目预期收益、成本及融资平衡情况</w:t>
      </w:r>
    </w:p>
    <w:p w14:paraId="0BB98627">
      <w:pPr>
        <w:spacing w:line="580" w:lineRule="exact"/>
        <w:ind w:left="-67" w:firstLine="643" w:firstLineChars="200"/>
        <w:outlineLvl w:val="1"/>
        <w:rPr>
          <w:rStyle w:val="19"/>
          <w:rFonts w:ascii="仿宋" w:hAnsi="仿宋" w:eastAsia="仿宋"/>
          <w:b/>
          <w:bCs/>
          <w:sz w:val="32"/>
          <w:szCs w:val="32"/>
        </w:rPr>
      </w:pPr>
      <w:r>
        <w:rPr>
          <w:rStyle w:val="19"/>
          <w:rFonts w:ascii="仿宋" w:hAnsi="仿宋" w:eastAsia="仿宋"/>
          <w:b/>
          <w:bCs/>
          <w:sz w:val="32"/>
          <w:szCs w:val="32"/>
        </w:rPr>
        <w:t>（一）预期收益</w:t>
      </w:r>
    </w:p>
    <w:p w14:paraId="1743A637">
      <w:pPr>
        <w:spacing w:line="580" w:lineRule="exact"/>
        <w:ind w:left="-67" w:firstLine="643" w:firstLineChars="200"/>
        <w:outlineLvl w:val="2"/>
        <w:rPr>
          <w:rStyle w:val="19"/>
          <w:rFonts w:ascii="仿宋" w:hAnsi="仿宋" w:eastAsia="仿宋"/>
          <w:b/>
          <w:bCs/>
          <w:sz w:val="32"/>
          <w:szCs w:val="32"/>
        </w:rPr>
      </w:pPr>
      <w:r>
        <w:rPr>
          <w:rStyle w:val="19"/>
          <w:rFonts w:ascii="仿宋" w:hAnsi="仿宋" w:eastAsia="仿宋"/>
          <w:b/>
          <w:bCs/>
          <w:sz w:val="32"/>
          <w:szCs w:val="32"/>
        </w:rPr>
        <w:t>1.项目收入</w:t>
      </w:r>
    </w:p>
    <w:p w14:paraId="226C8FC6">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本项目的收入来源实训课培训收入，</w:t>
      </w:r>
      <w:r>
        <w:rPr>
          <w:rFonts w:ascii="仿宋" w:hAnsi="仿宋" w:eastAsia="仿宋" w:cs="仿宋_GB2312"/>
          <w:sz w:val="32"/>
          <w:szCs w:val="32"/>
        </w:rPr>
        <w:t>预计收入约为：</w:t>
      </w:r>
      <w:r>
        <w:rPr>
          <w:rFonts w:hint="eastAsia" w:ascii="仿宋" w:hAnsi="仿宋" w:eastAsia="仿宋" w:cs="仿宋_GB2312"/>
          <w:sz w:val="32"/>
          <w:szCs w:val="32"/>
        </w:rPr>
        <w:t>27993.88</w:t>
      </w:r>
      <w:r>
        <w:rPr>
          <w:rFonts w:ascii="仿宋" w:hAnsi="仿宋" w:eastAsia="仿宋" w:cs="仿宋_GB2312"/>
          <w:sz w:val="32"/>
          <w:szCs w:val="32"/>
        </w:rPr>
        <w:t>万元</w:t>
      </w:r>
      <w:r>
        <w:rPr>
          <w:rFonts w:hint="eastAsia" w:ascii="仿宋" w:hAnsi="仿宋" w:eastAsia="仿宋" w:cs="仿宋_GB2312"/>
          <w:sz w:val="32"/>
          <w:szCs w:val="32"/>
        </w:rPr>
        <w:t>。</w:t>
      </w:r>
    </w:p>
    <w:p w14:paraId="7F37315F">
      <w:pPr>
        <w:spacing w:line="580" w:lineRule="exact"/>
        <w:ind w:left="-67" w:firstLine="643" w:firstLineChars="200"/>
        <w:outlineLvl w:val="2"/>
        <w:rPr>
          <w:rStyle w:val="19"/>
          <w:rFonts w:ascii="仿宋" w:hAnsi="仿宋" w:eastAsia="仿宋"/>
          <w:b/>
          <w:bCs/>
          <w:sz w:val="32"/>
          <w:szCs w:val="32"/>
          <w:highlight w:val="none"/>
        </w:rPr>
      </w:pPr>
      <w:r>
        <w:rPr>
          <w:rStyle w:val="19"/>
          <w:rFonts w:ascii="仿宋" w:hAnsi="仿宋" w:eastAsia="仿宋"/>
          <w:b/>
          <w:bCs/>
          <w:sz w:val="32"/>
          <w:szCs w:val="32"/>
          <w:highlight w:val="none"/>
        </w:rPr>
        <w:t>2.项目成本</w:t>
      </w:r>
    </w:p>
    <w:p w14:paraId="38CEDEBB">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项目总成本为</w:t>
      </w:r>
      <w:r>
        <w:rPr>
          <w:rFonts w:hint="eastAsia" w:ascii="仿宋" w:hAnsi="仿宋" w:eastAsia="仿宋" w:cs="仿宋_GB2312"/>
          <w:sz w:val="32"/>
          <w:szCs w:val="32"/>
        </w:rPr>
        <w:t>21993.71</w:t>
      </w:r>
      <w:r>
        <w:rPr>
          <w:rFonts w:ascii="仿宋" w:hAnsi="仿宋" w:eastAsia="仿宋" w:cs="仿宋_GB2312"/>
          <w:sz w:val="32"/>
          <w:szCs w:val="32"/>
        </w:rPr>
        <w:t>万元，运营成本（不含财务费用）为</w:t>
      </w:r>
      <w:r>
        <w:rPr>
          <w:rFonts w:hint="eastAsia" w:ascii="仿宋" w:hAnsi="仿宋" w:eastAsia="仿宋" w:cs="仿宋_GB2312"/>
          <w:sz w:val="32"/>
          <w:szCs w:val="32"/>
        </w:rPr>
        <w:t>7072.66</w:t>
      </w:r>
      <w:r>
        <w:rPr>
          <w:rFonts w:ascii="仿宋" w:hAnsi="仿宋" w:eastAsia="仿宋" w:cs="仿宋_GB2312"/>
          <w:sz w:val="32"/>
          <w:szCs w:val="32"/>
        </w:rPr>
        <w:t>万元。</w:t>
      </w:r>
    </w:p>
    <w:p w14:paraId="73E2B7B7">
      <w:pPr>
        <w:spacing w:line="580" w:lineRule="exact"/>
        <w:ind w:left="-67" w:firstLine="643" w:firstLineChars="200"/>
        <w:outlineLvl w:val="1"/>
        <w:rPr>
          <w:rStyle w:val="19"/>
          <w:rFonts w:ascii="仿宋" w:hAnsi="仿宋" w:eastAsia="仿宋"/>
          <w:b/>
          <w:bCs/>
          <w:sz w:val="32"/>
          <w:szCs w:val="32"/>
        </w:rPr>
      </w:pPr>
      <w:r>
        <w:rPr>
          <w:rStyle w:val="19"/>
          <w:rFonts w:ascii="仿宋" w:hAnsi="仿宋" w:eastAsia="仿宋"/>
          <w:b/>
          <w:bCs/>
          <w:sz w:val="32"/>
          <w:szCs w:val="32"/>
        </w:rPr>
        <w:t>（二）资金测算平衡情况</w:t>
      </w:r>
    </w:p>
    <w:p w14:paraId="29D0642F">
      <w:pPr>
        <w:spacing w:line="580" w:lineRule="exact"/>
        <w:ind w:firstLine="640" w:firstLineChars="200"/>
        <w:rPr>
          <w:rFonts w:ascii="仿宋" w:hAnsi="仿宋" w:eastAsia="仿宋" w:cs="仿宋_GB2312"/>
          <w:sz w:val="32"/>
          <w:szCs w:val="32"/>
        </w:rPr>
        <w:sectPr>
          <w:headerReference r:id="rId11" w:type="first"/>
          <w:headerReference r:id="rId9" w:type="default"/>
          <w:headerReference r:id="rId10" w:type="even"/>
          <w:pgSz w:w="11906" w:h="16838"/>
          <w:pgMar w:top="2098" w:right="1418" w:bottom="1588" w:left="1644" w:header="851" w:footer="992" w:gutter="0"/>
          <w:cols w:space="720" w:num="1"/>
          <w:docGrid w:type="lines" w:linePitch="435" w:charSpace="0"/>
        </w:sectPr>
      </w:pPr>
      <w:r>
        <w:rPr>
          <w:rFonts w:hint="eastAsia" w:ascii="仿宋" w:hAnsi="仿宋" w:eastAsia="仿宋" w:cs="仿宋_GB2312"/>
          <w:sz w:val="32"/>
          <w:szCs w:val="32"/>
        </w:rPr>
        <w:t>通过对各项收入的估算，在考虑相关营运成本费用及税费的情况下，预期项目收益的金额为</w:t>
      </w:r>
      <w:r>
        <w:rPr>
          <w:rFonts w:hint="eastAsia" w:ascii="仿宋" w:hAnsi="仿宋" w:eastAsia="仿宋" w:cs="仿宋_GB2312"/>
          <w:sz w:val="32"/>
          <w:szCs w:val="32"/>
          <w:lang w:eastAsia="zh-CN"/>
        </w:rPr>
        <w:t>18652.69</w:t>
      </w:r>
      <w:r>
        <w:rPr>
          <w:rFonts w:hint="eastAsia" w:ascii="仿宋" w:hAnsi="仿宋" w:eastAsia="仿宋" w:cs="仿宋_GB2312"/>
          <w:sz w:val="32"/>
          <w:szCs w:val="32"/>
        </w:rPr>
        <w:t>万元，需偿还债券本息为13328.00万元，收益覆盖倍数为1.40倍，项目收益能覆盖债券本金及利息</w:t>
      </w:r>
      <w:r>
        <w:rPr>
          <w:rFonts w:ascii="仿宋" w:hAnsi="仿宋" w:eastAsia="仿宋" w:cs="仿宋_GB2312"/>
          <w:sz w:val="32"/>
          <w:szCs w:val="32"/>
        </w:rPr>
        <w:t>。</w:t>
      </w:r>
    </w:p>
    <w:p w14:paraId="4BFCA4E5">
      <w:pPr>
        <w:widowControl w:val="0"/>
        <w:spacing w:afterLines="50" w:line="0" w:lineRule="atLeast"/>
        <w:jc w:val="center"/>
        <w:textAlignment w:val="auto"/>
      </w:pPr>
    </w:p>
    <w:p w14:paraId="0B85E664">
      <w:pPr>
        <w:rPr>
          <w:rFonts w:hint="eastAsia" w:ascii="Times New Roman" w:hAnsi="Times New Roman" w:eastAsia="仿宋" w:cs="Times New Roman"/>
          <w:b/>
          <w:bCs/>
          <w:kern w:val="2"/>
          <w:sz w:val="28"/>
          <w:szCs w:val="28"/>
          <w:lang w:val="en-US" w:eastAsia="zh-CN" w:bidi="ar-SA"/>
        </w:rPr>
      </w:pPr>
      <w:r>
        <w:rPr>
          <w:rFonts w:hint="eastAsia" w:ascii="Times New Roman" w:hAnsi="Times New Roman" w:eastAsia="仿宋" w:cs="Times New Roman"/>
          <w:b/>
          <w:bCs/>
          <w:kern w:val="2"/>
          <w:sz w:val="28"/>
          <w:szCs w:val="28"/>
          <w:lang w:val="en-US" w:eastAsia="zh-CN" w:bidi="ar-SA"/>
        </w:rPr>
        <w:t>项目资金平衡测算表</w:t>
      </w:r>
    </w:p>
    <w:tbl>
      <w:tblPr>
        <w:tblStyle w:val="1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74"/>
        <w:gridCol w:w="1450"/>
        <w:gridCol w:w="780"/>
        <w:gridCol w:w="736"/>
        <w:gridCol w:w="736"/>
        <w:gridCol w:w="645"/>
        <w:gridCol w:w="645"/>
        <w:gridCol w:w="645"/>
        <w:gridCol w:w="645"/>
        <w:gridCol w:w="645"/>
        <w:gridCol w:w="645"/>
        <w:gridCol w:w="646"/>
        <w:gridCol w:w="646"/>
        <w:gridCol w:w="646"/>
        <w:gridCol w:w="706"/>
        <w:gridCol w:w="718"/>
        <w:gridCol w:w="718"/>
        <w:gridCol w:w="833"/>
      </w:tblGrid>
      <w:tr w14:paraId="6D466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082" w:type="pct"/>
            <w:gridSpan w:val="3"/>
            <w:tcBorders>
              <w:top w:val="single" w:color="000000" w:sz="4" w:space="0"/>
              <w:left w:val="single" w:color="000000" w:sz="4" w:space="0"/>
              <w:bottom w:val="single" w:color="000000" w:sz="4" w:space="0"/>
              <w:right w:val="single" w:color="000000" w:sz="4" w:space="0"/>
            </w:tcBorders>
            <w:noWrap/>
            <w:vAlign w:val="center"/>
          </w:tcPr>
          <w:p w14:paraId="4846B7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533" w:type="pct"/>
            <w:gridSpan w:val="2"/>
            <w:tcBorders>
              <w:top w:val="single" w:color="000000" w:sz="4" w:space="0"/>
              <w:left w:val="single" w:color="000000" w:sz="4" w:space="0"/>
              <w:bottom w:val="single" w:color="000000" w:sz="4" w:space="0"/>
              <w:right w:val="single" w:color="000000" w:sz="4" w:space="0"/>
            </w:tcBorders>
            <w:noWrap/>
            <w:vAlign w:val="center"/>
          </w:tcPr>
          <w:p w14:paraId="1A528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建设期</w:t>
            </w:r>
          </w:p>
        </w:tc>
        <w:tc>
          <w:tcPr>
            <w:tcW w:w="3384" w:type="pct"/>
            <w:gridSpan w:val="13"/>
            <w:tcBorders>
              <w:top w:val="single" w:color="000000" w:sz="4" w:space="0"/>
              <w:left w:val="single" w:color="000000" w:sz="4" w:space="0"/>
              <w:bottom w:val="single" w:color="000000" w:sz="4" w:space="0"/>
              <w:right w:val="single" w:color="000000" w:sz="4" w:space="0"/>
            </w:tcBorders>
            <w:noWrap/>
            <w:vAlign w:val="center"/>
          </w:tcPr>
          <w:p w14:paraId="4BC8B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运营期</w:t>
            </w:r>
          </w:p>
        </w:tc>
      </w:tr>
      <w:tr w14:paraId="23305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ign w:val="center"/>
          </w:tcPr>
          <w:p w14:paraId="01631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116E3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w:t>
            </w:r>
          </w:p>
        </w:tc>
        <w:tc>
          <w:tcPr>
            <w:tcW w:w="299" w:type="pct"/>
            <w:tcBorders>
              <w:top w:val="single" w:color="000000" w:sz="4" w:space="0"/>
              <w:left w:val="single" w:color="000000" w:sz="4" w:space="0"/>
              <w:bottom w:val="single" w:color="000000" w:sz="4" w:space="0"/>
              <w:right w:val="single" w:color="000000" w:sz="4" w:space="0"/>
            </w:tcBorders>
            <w:noWrap/>
            <w:vAlign w:val="center"/>
          </w:tcPr>
          <w:p w14:paraId="2764F1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合计 </w:t>
            </w:r>
          </w:p>
        </w:tc>
        <w:tc>
          <w:tcPr>
            <w:tcW w:w="278" w:type="pct"/>
            <w:tcBorders>
              <w:top w:val="nil"/>
              <w:left w:val="single" w:color="000000" w:sz="4" w:space="0"/>
              <w:bottom w:val="single" w:color="000000" w:sz="4" w:space="0"/>
              <w:right w:val="single" w:color="000000" w:sz="4" w:space="0"/>
            </w:tcBorders>
            <w:noWrap w:val="0"/>
            <w:vAlign w:val="center"/>
          </w:tcPr>
          <w:p w14:paraId="4D81E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第1年</w:t>
            </w:r>
          </w:p>
        </w:tc>
        <w:tc>
          <w:tcPr>
            <w:tcW w:w="255" w:type="pct"/>
            <w:tcBorders>
              <w:top w:val="nil"/>
              <w:left w:val="single" w:color="000000" w:sz="4" w:space="0"/>
              <w:bottom w:val="single" w:color="000000" w:sz="4" w:space="0"/>
              <w:right w:val="single" w:color="000000" w:sz="4" w:space="0"/>
            </w:tcBorders>
            <w:noWrap w:val="0"/>
            <w:vAlign w:val="center"/>
          </w:tcPr>
          <w:p w14:paraId="203E0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第2年</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02A2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第3年</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57C65E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第4年</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5D016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第5年</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249F6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第6年</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749A0D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第7年</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5BD24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第8年</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334EB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第9年</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3D45D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第10年</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5A40C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第11年</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42F997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第12年</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12C52A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第13年</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1D3469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第14年</w:t>
            </w:r>
          </w:p>
        </w:tc>
        <w:tc>
          <w:tcPr>
            <w:tcW w:w="310" w:type="pct"/>
            <w:tcBorders>
              <w:top w:val="single" w:color="000000" w:sz="4" w:space="0"/>
              <w:left w:val="single" w:color="000000" w:sz="4" w:space="0"/>
              <w:bottom w:val="single" w:color="000000" w:sz="4" w:space="0"/>
              <w:right w:val="single" w:color="000000" w:sz="4" w:space="0"/>
            </w:tcBorders>
            <w:noWrap w:val="0"/>
            <w:vAlign w:val="center"/>
          </w:tcPr>
          <w:p w14:paraId="4253C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第15年</w:t>
            </w:r>
          </w:p>
        </w:tc>
      </w:tr>
      <w:tr w14:paraId="36841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2E957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68F210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经营活动产生的净现金流量</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57D94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18652.67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349E8B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29141F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F4E1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531.39</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BCEE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570.17</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03D2B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608.94</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B200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653.17</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ABF0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653.17</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A32F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653.17</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2BA90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658.68</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6A78D7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658.68</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265310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658.68</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0C82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664.24</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EE95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664.24</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8B4A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664.24</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2C7D8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669.86</w:t>
            </w:r>
          </w:p>
        </w:tc>
      </w:tr>
      <w:tr w14:paraId="20F39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44CDE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50E2EE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41920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27993.88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126D04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46CF27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DD55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34BB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825.00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E633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A00B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944.35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5F67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944.35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49AFE5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944.35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ADFB1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953.79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6C835F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953.79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0C82D7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953.79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56C0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963.33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E9D5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963.33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1AFF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963.33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6668C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972.96 </w:t>
            </w:r>
          </w:p>
        </w:tc>
      </w:tr>
      <w:tr w14:paraId="6F0FC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5DCD6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0C8D53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经营收入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ED850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27993.88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4935D5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2DE7FE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9FA8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51B8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825.00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44EF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5C24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944.35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70CDC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944.35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E725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944.35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FDCD3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953.79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EC10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953.79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0F55B0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953.79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A9D10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963.33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B747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963.33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A4C2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963.33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115B1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972.96 </w:t>
            </w:r>
          </w:p>
        </w:tc>
      </w:tr>
      <w:tr w14:paraId="28752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6698E6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036675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补贴收入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F7F31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2CEB84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063053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745F5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A3A1F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DDDD9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7469F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C6E76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7FF96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ADE36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45E60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2D301B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628B8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6838B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88318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6C5F8F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5DD81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38FA6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6E174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B4C9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9341.22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1753C6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2E2559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C8F0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238.61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539E4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254.83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262EE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271.06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CF57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291.18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F95C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291.18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57176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291.18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55B1B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295.12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19A0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295.12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6294E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295.12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8351F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299.09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83801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299.09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B546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299.09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64D026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303.10 </w:t>
            </w:r>
          </w:p>
        </w:tc>
      </w:tr>
      <w:tr w14:paraId="3F406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06ABC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5586D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经营成本</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DA0F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7072.66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FB8D7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547513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A39A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225.40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8F361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228.70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AF3AA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232.00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DEF85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237.38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DCA2A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237.38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16C70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237.38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13AF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239.48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CDD6D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239.48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6C4882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239.48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1B54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241.60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903D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241.60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8651B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241.60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2382B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243.74 </w:t>
            </w:r>
          </w:p>
        </w:tc>
      </w:tr>
      <w:tr w14:paraId="6D328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079E1C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6150DA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其他支出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（税金及附加+企业所得税）</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7FCBCF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2268.56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0DDF5D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51BABE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D9E6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13.21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12E1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26.13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40C3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39.06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40F3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53.80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DD46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53.80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4CEBB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53.80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646D2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55.64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98C50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55.64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03F4E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55.64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5AD0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57.49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D731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57.49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0350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57.49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1DC34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59.36 </w:t>
            </w:r>
          </w:p>
        </w:tc>
      </w:tr>
      <w:tr w14:paraId="1828F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08E42E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786FA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投资活动净现金流量</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8D4F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-8266.80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419495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-4187.80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59F3B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-4079.00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92E8B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CBC64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E2B72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D5BBD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1176C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00BD7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47532D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CC527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7E351D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C4CFC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136DD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9B835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1EA396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r>
      <w:tr w14:paraId="53CB3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6F73D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4BAE9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9758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31CD13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3B583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D1DD1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DFA22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3B4F3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3E39A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F7E58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476302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7D2C0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E08B6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6B6080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93AED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63BE3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15300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185DA77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7754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7F0D1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452FF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74AA8F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8266.80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1A9C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4187.80 </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2B385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4079.00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7EF7CB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4734D4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59D872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40719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136D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F9BD2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D3A12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52AC2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572646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26912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D2121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15A9E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27D45D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4597E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3D1A9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6F2F7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建设投资</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A431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8266.80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20607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4187.80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3BDCD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4079.00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DE05C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DAD32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550FE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33AAC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CB168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468C81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50356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04906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64C1FF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1CD9A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88C8D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E3C1E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2DB157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58ADA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66001E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300BA3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维持运营投资</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D9A28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F9FE4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210E01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078DD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F64A2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CB61A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7F7BD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526EA0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5CB13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8DF9A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3EF09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6F1566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DB40E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CEA7C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0106F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3FC203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6654E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22569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685C4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筹措活动净现金流量</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4D48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-4734.80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193B0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4187.80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74203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4079.00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E763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BE1F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F4CB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3CCC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CE8D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F548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D38E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6D627B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684D31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83BE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E76F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9EDB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1D5CB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r>
      <w:tr w14:paraId="41CF8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572E76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29E26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474AD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8600.00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20E18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4300.00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3D1A66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4300.00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DD8D8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89CB9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D110D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F97B2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768E3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C99D0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4630B2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6E0C5C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77942E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A7D31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9B4C9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B5A83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5EE97F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06CB1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3102B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1BBAF0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项目资本金投入</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56129A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1800.00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EE1E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 </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199EA7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4F467E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738888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534D24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B2AAE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D5296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1F349B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4F9473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40FCC5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343091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20CBC8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37A003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570A95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0"/>
            <w:vAlign w:val="center"/>
          </w:tcPr>
          <w:p w14:paraId="1C3760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3C42E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50C3E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44EA3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专项债券资金</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44F33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6800.00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6E07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3400.00 </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2A565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11AE67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2A1151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6D71C5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43515C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779B70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7103A1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14E32B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437BC6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315FB5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172746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39FBA3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08AFD3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0"/>
            <w:vAlign w:val="center"/>
          </w:tcPr>
          <w:p w14:paraId="33D1CE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2079F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273C80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282D7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市场化融资</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82E3D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9E4BD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68DC8A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8CBD1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2ABC20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AFCEB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691015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7FECC9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5755B2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686716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1D5C2C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top"/>
          </w:tcPr>
          <w:p w14:paraId="7CCBAF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6BF26B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25A3C5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58D45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073E61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02B14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161C91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35470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50ACD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13334.80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23E90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112.20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27AAA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221.00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CC46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52292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035C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76E2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1479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72AE72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BC854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12440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3EE87F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F1DD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B50D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DD63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2F55F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r>
      <w:tr w14:paraId="080FF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613BD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02F3F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支付债券利息</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5E618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6528.00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8F6D9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108.80 </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21904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2501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44B2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4C679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E7D3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22B8D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6B7A4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4BE1E2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4E943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08A96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30FAB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5AA648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329C0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310" w:type="pct"/>
            <w:tcBorders>
              <w:top w:val="single" w:color="000000" w:sz="4" w:space="0"/>
              <w:left w:val="single" w:color="000000" w:sz="4" w:space="0"/>
              <w:bottom w:val="single" w:color="000000" w:sz="4" w:space="0"/>
              <w:right w:val="single" w:color="000000" w:sz="4" w:space="0"/>
            </w:tcBorders>
            <w:noWrap w:val="0"/>
            <w:vAlign w:val="center"/>
          </w:tcPr>
          <w:p w14:paraId="52D3C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r>
      <w:tr w14:paraId="6275A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721E51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3C5EA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支付债券发行费用</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18454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0EEF68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18C955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C4944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73B68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D2F7F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5438D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63EEF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FA56F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5787C5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6AC44F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top"/>
          </w:tcPr>
          <w:p w14:paraId="478C4A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086DDD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0497C3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7FE2F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68B318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6D405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1AA35B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42C3D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支付市场化融资利息</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5553C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8" w:type="pct"/>
            <w:tcBorders>
              <w:top w:val="single" w:color="000000" w:sz="4" w:space="0"/>
              <w:left w:val="single" w:color="000000" w:sz="4" w:space="0"/>
              <w:bottom w:val="single" w:color="000000" w:sz="4" w:space="0"/>
              <w:right w:val="single" w:color="000000" w:sz="4" w:space="0"/>
            </w:tcBorders>
            <w:noWrap/>
            <w:vAlign w:val="top"/>
          </w:tcPr>
          <w:p w14:paraId="79FC88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top"/>
          </w:tcPr>
          <w:p w14:paraId="0695CE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3442BC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75FA6A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1A3C05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76432E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0975F1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052AFD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19C956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704A65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top"/>
          </w:tcPr>
          <w:p w14:paraId="57C4E4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5FF73C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539B7A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C5E19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46CEE5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7AA87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6BE59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384F0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支付市场化融资发行费用</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603DE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8" w:type="pct"/>
            <w:tcBorders>
              <w:top w:val="single" w:color="000000" w:sz="4" w:space="0"/>
              <w:left w:val="single" w:color="000000" w:sz="4" w:space="0"/>
              <w:bottom w:val="single" w:color="000000" w:sz="4" w:space="0"/>
              <w:right w:val="single" w:color="000000" w:sz="4" w:space="0"/>
            </w:tcBorders>
            <w:noWrap/>
            <w:vAlign w:val="top"/>
          </w:tcPr>
          <w:p w14:paraId="6300C9C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top"/>
          </w:tcPr>
          <w:p w14:paraId="24F05D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5A046D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2799BF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306BD8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0FEB82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04516C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3CB9D1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0DAA4C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FF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47C521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top"/>
          </w:tcPr>
          <w:p w14:paraId="1AB115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5570DF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29883A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053D3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31AF7E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14:paraId="1C33C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23179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522" w:type="pct"/>
            <w:tcBorders>
              <w:top w:val="single" w:color="000000" w:sz="4" w:space="0"/>
              <w:left w:val="single" w:color="000000" w:sz="4" w:space="0"/>
              <w:bottom w:val="single" w:color="000000" w:sz="4" w:space="0"/>
              <w:right w:val="single" w:color="000000" w:sz="4" w:space="0"/>
            </w:tcBorders>
            <w:noWrap/>
            <w:vAlign w:val="center"/>
          </w:tcPr>
          <w:p w14:paraId="27E7D9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支付专项债券本金</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20158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6800.00 </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3940F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1581E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0DD2B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341038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7F55E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17955B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0"/>
            <w:vAlign w:val="center"/>
          </w:tcPr>
          <w:p w14:paraId="708C6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06FC91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0BB2DE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7" w:type="pct"/>
            <w:tcBorders>
              <w:top w:val="single" w:color="000000" w:sz="4" w:space="0"/>
              <w:left w:val="single" w:color="000000" w:sz="4" w:space="0"/>
              <w:bottom w:val="single" w:color="000000" w:sz="4" w:space="0"/>
              <w:right w:val="single" w:color="000000" w:sz="4" w:space="0"/>
            </w:tcBorders>
            <w:noWrap w:val="0"/>
            <w:vAlign w:val="center"/>
          </w:tcPr>
          <w:p w14:paraId="41B98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473C3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65A80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711B4D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6" w:type="pct"/>
            <w:tcBorders>
              <w:top w:val="single" w:color="000000" w:sz="4" w:space="0"/>
              <w:left w:val="single" w:color="000000" w:sz="4" w:space="0"/>
              <w:bottom w:val="single" w:color="000000" w:sz="4" w:space="0"/>
              <w:right w:val="single" w:color="000000" w:sz="4" w:space="0"/>
            </w:tcBorders>
            <w:noWrap w:val="0"/>
            <w:vAlign w:val="center"/>
          </w:tcPr>
          <w:p w14:paraId="21F113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10" w:type="pct"/>
            <w:tcBorders>
              <w:top w:val="single" w:color="000000" w:sz="4" w:space="0"/>
              <w:left w:val="single" w:color="000000" w:sz="4" w:space="0"/>
              <w:bottom w:val="single" w:color="000000" w:sz="4" w:space="0"/>
              <w:right w:val="single" w:color="000000" w:sz="4" w:space="0"/>
            </w:tcBorders>
            <w:noWrap w:val="0"/>
            <w:vAlign w:val="center"/>
          </w:tcPr>
          <w:p w14:paraId="7E504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r w14:paraId="17558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26271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00287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支付市场化融资本金</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0CF11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8" w:type="pct"/>
            <w:tcBorders>
              <w:top w:val="single" w:color="000000" w:sz="4" w:space="0"/>
              <w:left w:val="single" w:color="000000" w:sz="4" w:space="0"/>
              <w:bottom w:val="single" w:color="000000" w:sz="4" w:space="0"/>
              <w:right w:val="single" w:color="000000" w:sz="4" w:space="0"/>
            </w:tcBorders>
            <w:noWrap/>
            <w:vAlign w:val="top"/>
          </w:tcPr>
          <w:p w14:paraId="66A82B5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top"/>
          </w:tcPr>
          <w:p w14:paraId="51D937C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03DA2B9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631FB7C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39B6CBC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58C713A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top"/>
          </w:tcPr>
          <w:p w14:paraId="2797D02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208F400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4CC0272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top"/>
          </w:tcPr>
          <w:p w14:paraId="730DB28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top"/>
          </w:tcPr>
          <w:p w14:paraId="5A1FC37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3405CD3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top"/>
          </w:tcPr>
          <w:p w14:paraId="63949E5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A038D5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1AA591A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5DC72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7017A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5433A4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现金流量总计</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05DBA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7A6865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339F48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F0A44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3D7EA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2C23C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2BEDD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4460D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999E7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C9612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F9167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52FA77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ED459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7BD18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07C50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730672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r>
      <w:tr w14:paraId="7DBC9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123DF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7507D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项目期的期初资金</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959EB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9FB88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381E8D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F0D3A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26FD6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313.79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CE036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666.36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E8395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1057.70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6272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1493.27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617ED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1928.84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342A3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2364.41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717E6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2805.49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36B76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3246.57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907A7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3687.65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21AE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4134.29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08C44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4580.93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7F8AA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5027.57 </w:t>
            </w:r>
          </w:p>
        </w:tc>
      </w:tr>
      <w:tr w14:paraId="3C9DF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69608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437CA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项目期内现金变动（一+二+三）</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34157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5651.07 </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7F0EF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0BC806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98ED2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313.79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3FE2E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352.57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24E6B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391.34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FFD79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435.57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E8FA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435.57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2632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435.57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253E14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441.08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00756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441.08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1DA02A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441.08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8284C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446.64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C9B2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446.64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B173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446.64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2761A7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452.26 </w:t>
            </w:r>
          </w:p>
        </w:tc>
      </w:tr>
      <w:tr w14:paraId="28442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260" w:type="pct"/>
            <w:tcBorders>
              <w:top w:val="single" w:color="000000" w:sz="4" w:space="0"/>
              <w:left w:val="single" w:color="000000" w:sz="4" w:space="0"/>
              <w:bottom w:val="single" w:color="000000" w:sz="4" w:space="0"/>
              <w:right w:val="single" w:color="000000" w:sz="4" w:space="0"/>
            </w:tcBorders>
            <w:noWrap w:val="0"/>
            <w:vAlign w:val="center"/>
          </w:tcPr>
          <w:p w14:paraId="0A2A3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522" w:type="pct"/>
            <w:tcBorders>
              <w:top w:val="single" w:color="000000" w:sz="4" w:space="0"/>
              <w:left w:val="single" w:color="000000" w:sz="4" w:space="0"/>
              <w:bottom w:val="single" w:color="000000" w:sz="4" w:space="0"/>
              <w:right w:val="single" w:color="000000" w:sz="4" w:space="0"/>
            </w:tcBorders>
            <w:noWrap w:val="0"/>
            <w:vAlign w:val="center"/>
          </w:tcPr>
          <w:p w14:paraId="0BECD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项目期的期末资金</w:t>
            </w:r>
          </w:p>
        </w:tc>
        <w:tc>
          <w:tcPr>
            <w:tcW w:w="299" w:type="pct"/>
            <w:tcBorders>
              <w:top w:val="single" w:color="000000" w:sz="4" w:space="0"/>
              <w:left w:val="single" w:color="000000" w:sz="4" w:space="0"/>
              <w:bottom w:val="single" w:color="000000" w:sz="4" w:space="0"/>
              <w:right w:val="single" w:color="000000" w:sz="4" w:space="0"/>
            </w:tcBorders>
            <w:noWrap w:val="0"/>
            <w:vAlign w:val="center"/>
          </w:tcPr>
          <w:p w14:paraId="2B0486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0B691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55" w:type="pct"/>
            <w:tcBorders>
              <w:top w:val="single" w:color="000000" w:sz="4" w:space="0"/>
              <w:left w:val="single" w:color="000000" w:sz="4" w:space="0"/>
              <w:bottom w:val="single" w:color="000000" w:sz="4" w:space="0"/>
              <w:right w:val="single" w:color="000000" w:sz="4" w:space="0"/>
            </w:tcBorders>
            <w:noWrap/>
            <w:vAlign w:val="center"/>
          </w:tcPr>
          <w:p w14:paraId="1090E1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6C13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313.79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5C6B0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666.36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1C3CD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1057.70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E43F5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1493.27 </w:t>
            </w: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37CAB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1928.84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5FD7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2364.41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31FCE3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2805.49 </w:t>
            </w:r>
          </w:p>
        </w:tc>
        <w:tc>
          <w:tcPr>
            <w:tcW w:w="247" w:type="pct"/>
            <w:tcBorders>
              <w:top w:val="single" w:color="000000" w:sz="4" w:space="0"/>
              <w:left w:val="single" w:color="000000" w:sz="4" w:space="0"/>
              <w:bottom w:val="single" w:color="000000" w:sz="4" w:space="0"/>
              <w:right w:val="single" w:color="000000" w:sz="4" w:space="0"/>
            </w:tcBorders>
            <w:noWrap/>
            <w:vAlign w:val="center"/>
          </w:tcPr>
          <w:p w14:paraId="1FD64A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3246.57 </w:t>
            </w:r>
          </w:p>
        </w:tc>
        <w:tc>
          <w:tcPr>
            <w:tcW w:w="250" w:type="pct"/>
            <w:tcBorders>
              <w:top w:val="single" w:color="000000" w:sz="4" w:space="0"/>
              <w:left w:val="single" w:color="000000" w:sz="4" w:space="0"/>
              <w:bottom w:val="single" w:color="000000" w:sz="4" w:space="0"/>
              <w:right w:val="single" w:color="000000" w:sz="4" w:space="0"/>
            </w:tcBorders>
            <w:noWrap/>
            <w:vAlign w:val="center"/>
          </w:tcPr>
          <w:p w14:paraId="3A235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3687.65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2C2FB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4134.29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1BFE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4580.93 </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50A1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5027.57 </w:t>
            </w:r>
          </w:p>
        </w:tc>
        <w:tc>
          <w:tcPr>
            <w:tcW w:w="310" w:type="pct"/>
            <w:tcBorders>
              <w:top w:val="single" w:color="000000" w:sz="4" w:space="0"/>
              <w:left w:val="single" w:color="000000" w:sz="4" w:space="0"/>
              <w:bottom w:val="single" w:color="000000" w:sz="4" w:space="0"/>
              <w:right w:val="single" w:color="000000" w:sz="4" w:space="0"/>
            </w:tcBorders>
            <w:noWrap/>
            <w:vAlign w:val="center"/>
          </w:tcPr>
          <w:p w14:paraId="3FD32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5479.83 </w:t>
            </w:r>
          </w:p>
        </w:tc>
      </w:tr>
    </w:tbl>
    <w:p w14:paraId="7CD25A86">
      <w:pPr>
        <w:rPr>
          <w:rFonts w:hint="eastAsia" w:ascii="Times New Roman" w:hAnsi="Times New Roman" w:eastAsia="仿宋" w:cs="Times New Roman"/>
          <w:b/>
          <w:bCs/>
          <w:kern w:val="2"/>
          <w:sz w:val="28"/>
          <w:szCs w:val="28"/>
          <w:lang w:val="en-US" w:eastAsia="zh-CN" w:bidi="ar-SA"/>
        </w:rPr>
      </w:pPr>
      <w:r>
        <w:rPr>
          <w:rFonts w:hint="eastAsia" w:ascii="Times New Roman" w:hAnsi="Times New Roman" w:eastAsia="仿宋" w:cs="Times New Roman"/>
          <w:b/>
          <w:bCs/>
          <w:kern w:val="2"/>
          <w:sz w:val="28"/>
          <w:szCs w:val="28"/>
          <w:lang w:val="en-US" w:eastAsia="zh-CN" w:bidi="ar-SA"/>
        </w:rPr>
        <w:t>续表</w:t>
      </w:r>
    </w:p>
    <w:tbl>
      <w:tblPr>
        <w:tblStyle w:val="1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372"/>
        <w:gridCol w:w="1450"/>
        <w:gridCol w:w="736"/>
        <w:gridCol w:w="645"/>
        <w:gridCol w:w="645"/>
        <w:gridCol w:w="645"/>
        <w:gridCol w:w="645"/>
        <w:gridCol w:w="645"/>
        <w:gridCol w:w="645"/>
        <w:gridCol w:w="645"/>
        <w:gridCol w:w="645"/>
        <w:gridCol w:w="645"/>
        <w:gridCol w:w="645"/>
        <w:gridCol w:w="730"/>
        <w:gridCol w:w="730"/>
        <w:gridCol w:w="730"/>
        <w:gridCol w:w="730"/>
        <w:gridCol w:w="736"/>
        <w:gridCol w:w="736"/>
      </w:tblGrid>
      <w:tr w14:paraId="069CA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993" w:type="pct"/>
            <w:gridSpan w:val="3"/>
            <w:tcBorders>
              <w:top w:val="single" w:color="000000" w:sz="4" w:space="0"/>
              <w:left w:val="single" w:color="000000" w:sz="4" w:space="0"/>
              <w:bottom w:val="single" w:color="000000" w:sz="4" w:space="0"/>
              <w:right w:val="single" w:color="000000" w:sz="4" w:space="0"/>
            </w:tcBorders>
            <w:noWrap/>
            <w:vAlign w:val="center"/>
          </w:tcPr>
          <w:p w14:paraId="19BE46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4006" w:type="pct"/>
            <w:gridSpan w:val="16"/>
            <w:tcBorders>
              <w:top w:val="single" w:color="000000" w:sz="4" w:space="0"/>
              <w:left w:val="single" w:color="000000" w:sz="4" w:space="0"/>
              <w:bottom w:val="single" w:color="000000" w:sz="4" w:space="0"/>
              <w:right w:val="single" w:color="000000" w:sz="4" w:space="0"/>
            </w:tcBorders>
            <w:noWrap/>
            <w:vAlign w:val="center"/>
          </w:tcPr>
          <w:p w14:paraId="7438E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运营期</w:t>
            </w:r>
          </w:p>
        </w:tc>
      </w:tr>
      <w:tr w14:paraId="7A2EE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ign w:val="center"/>
          </w:tcPr>
          <w:p w14:paraId="72661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A823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w:t>
            </w:r>
          </w:p>
        </w:tc>
        <w:tc>
          <w:tcPr>
            <w:tcW w:w="264" w:type="pct"/>
            <w:tcBorders>
              <w:top w:val="single" w:color="000000" w:sz="4" w:space="0"/>
              <w:left w:val="single" w:color="000000" w:sz="4" w:space="0"/>
              <w:bottom w:val="single" w:color="000000" w:sz="4" w:space="0"/>
              <w:right w:val="single" w:color="000000" w:sz="4" w:space="0"/>
            </w:tcBorders>
            <w:noWrap/>
            <w:vAlign w:val="center"/>
          </w:tcPr>
          <w:p w14:paraId="244222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合计 </w:t>
            </w:r>
          </w:p>
        </w:tc>
        <w:tc>
          <w:tcPr>
            <w:tcW w:w="237" w:type="pct"/>
            <w:tcBorders>
              <w:top w:val="nil"/>
              <w:left w:val="single" w:color="000000" w:sz="4" w:space="0"/>
              <w:bottom w:val="single" w:color="000000" w:sz="4" w:space="0"/>
              <w:right w:val="single" w:color="000000" w:sz="4" w:space="0"/>
            </w:tcBorders>
            <w:noWrap w:val="0"/>
            <w:vAlign w:val="center"/>
          </w:tcPr>
          <w:p w14:paraId="46711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第16年</w:t>
            </w:r>
          </w:p>
        </w:tc>
        <w:tc>
          <w:tcPr>
            <w:tcW w:w="237" w:type="pct"/>
            <w:tcBorders>
              <w:top w:val="nil"/>
              <w:left w:val="single" w:color="000000" w:sz="4" w:space="0"/>
              <w:bottom w:val="single" w:color="000000" w:sz="4" w:space="0"/>
              <w:right w:val="single" w:color="000000" w:sz="4" w:space="0"/>
            </w:tcBorders>
            <w:noWrap w:val="0"/>
            <w:vAlign w:val="center"/>
          </w:tcPr>
          <w:p w14:paraId="095E9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第17年</w:t>
            </w:r>
          </w:p>
        </w:tc>
        <w:tc>
          <w:tcPr>
            <w:tcW w:w="237" w:type="pct"/>
            <w:tcBorders>
              <w:top w:val="nil"/>
              <w:left w:val="single" w:color="000000" w:sz="4" w:space="0"/>
              <w:bottom w:val="single" w:color="000000" w:sz="4" w:space="0"/>
              <w:right w:val="single" w:color="000000" w:sz="4" w:space="0"/>
            </w:tcBorders>
            <w:noWrap w:val="0"/>
            <w:vAlign w:val="center"/>
          </w:tcPr>
          <w:p w14:paraId="7BA5A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第18年</w:t>
            </w:r>
          </w:p>
        </w:tc>
        <w:tc>
          <w:tcPr>
            <w:tcW w:w="237" w:type="pct"/>
            <w:tcBorders>
              <w:top w:val="nil"/>
              <w:left w:val="single" w:color="000000" w:sz="4" w:space="0"/>
              <w:bottom w:val="single" w:color="000000" w:sz="4" w:space="0"/>
              <w:right w:val="single" w:color="000000" w:sz="4" w:space="0"/>
            </w:tcBorders>
            <w:noWrap w:val="0"/>
            <w:vAlign w:val="center"/>
          </w:tcPr>
          <w:p w14:paraId="1357FC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第19年</w:t>
            </w:r>
          </w:p>
        </w:tc>
        <w:tc>
          <w:tcPr>
            <w:tcW w:w="237" w:type="pct"/>
            <w:tcBorders>
              <w:top w:val="nil"/>
              <w:left w:val="single" w:color="000000" w:sz="4" w:space="0"/>
              <w:bottom w:val="single" w:color="000000" w:sz="4" w:space="0"/>
              <w:right w:val="single" w:color="000000" w:sz="4" w:space="0"/>
            </w:tcBorders>
            <w:noWrap w:val="0"/>
            <w:vAlign w:val="center"/>
          </w:tcPr>
          <w:p w14:paraId="5FE9B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第20年</w:t>
            </w:r>
          </w:p>
        </w:tc>
        <w:tc>
          <w:tcPr>
            <w:tcW w:w="237" w:type="pct"/>
            <w:tcBorders>
              <w:top w:val="nil"/>
              <w:left w:val="single" w:color="000000" w:sz="4" w:space="0"/>
              <w:bottom w:val="single" w:color="000000" w:sz="4" w:space="0"/>
              <w:right w:val="single" w:color="000000" w:sz="4" w:space="0"/>
            </w:tcBorders>
            <w:noWrap w:val="0"/>
            <w:vAlign w:val="center"/>
          </w:tcPr>
          <w:p w14:paraId="560C41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第21年</w:t>
            </w:r>
          </w:p>
        </w:tc>
        <w:tc>
          <w:tcPr>
            <w:tcW w:w="237" w:type="pct"/>
            <w:tcBorders>
              <w:top w:val="nil"/>
              <w:left w:val="single" w:color="000000" w:sz="4" w:space="0"/>
              <w:bottom w:val="single" w:color="000000" w:sz="4" w:space="0"/>
              <w:right w:val="single" w:color="000000" w:sz="4" w:space="0"/>
            </w:tcBorders>
            <w:noWrap w:val="0"/>
            <w:vAlign w:val="center"/>
          </w:tcPr>
          <w:p w14:paraId="57159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第22年</w:t>
            </w:r>
          </w:p>
        </w:tc>
        <w:tc>
          <w:tcPr>
            <w:tcW w:w="237" w:type="pct"/>
            <w:tcBorders>
              <w:top w:val="nil"/>
              <w:left w:val="single" w:color="000000" w:sz="4" w:space="0"/>
              <w:bottom w:val="single" w:color="000000" w:sz="4" w:space="0"/>
              <w:right w:val="single" w:color="000000" w:sz="4" w:space="0"/>
            </w:tcBorders>
            <w:noWrap w:val="0"/>
            <w:vAlign w:val="center"/>
          </w:tcPr>
          <w:p w14:paraId="55A6EC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第23年</w:t>
            </w:r>
          </w:p>
        </w:tc>
        <w:tc>
          <w:tcPr>
            <w:tcW w:w="237" w:type="pct"/>
            <w:tcBorders>
              <w:top w:val="nil"/>
              <w:left w:val="single" w:color="000000" w:sz="4" w:space="0"/>
              <w:bottom w:val="single" w:color="000000" w:sz="4" w:space="0"/>
              <w:right w:val="single" w:color="000000" w:sz="4" w:space="0"/>
            </w:tcBorders>
            <w:noWrap w:val="0"/>
            <w:vAlign w:val="center"/>
          </w:tcPr>
          <w:p w14:paraId="53B08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第24年</w:t>
            </w:r>
          </w:p>
        </w:tc>
        <w:tc>
          <w:tcPr>
            <w:tcW w:w="237" w:type="pct"/>
            <w:tcBorders>
              <w:top w:val="nil"/>
              <w:left w:val="single" w:color="000000" w:sz="4" w:space="0"/>
              <w:bottom w:val="single" w:color="000000" w:sz="4" w:space="0"/>
              <w:right w:val="single" w:color="000000" w:sz="4" w:space="0"/>
            </w:tcBorders>
            <w:noWrap w:val="0"/>
            <w:vAlign w:val="center"/>
          </w:tcPr>
          <w:p w14:paraId="7F8578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第25年</w:t>
            </w:r>
          </w:p>
        </w:tc>
        <w:tc>
          <w:tcPr>
            <w:tcW w:w="273" w:type="pct"/>
            <w:tcBorders>
              <w:top w:val="nil"/>
              <w:left w:val="single" w:color="000000" w:sz="4" w:space="0"/>
              <w:bottom w:val="single" w:color="000000" w:sz="4" w:space="0"/>
              <w:right w:val="single" w:color="000000" w:sz="4" w:space="0"/>
            </w:tcBorders>
            <w:noWrap w:val="0"/>
            <w:vAlign w:val="center"/>
          </w:tcPr>
          <w:p w14:paraId="6E860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第26年</w:t>
            </w:r>
          </w:p>
        </w:tc>
        <w:tc>
          <w:tcPr>
            <w:tcW w:w="273" w:type="pct"/>
            <w:tcBorders>
              <w:top w:val="nil"/>
              <w:left w:val="single" w:color="000000" w:sz="4" w:space="0"/>
              <w:bottom w:val="single" w:color="000000" w:sz="4" w:space="0"/>
              <w:right w:val="single" w:color="000000" w:sz="4" w:space="0"/>
            </w:tcBorders>
            <w:noWrap w:val="0"/>
            <w:vAlign w:val="center"/>
          </w:tcPr>
          <w:p w14:paraId="661E9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第27年</w:t>
            </w:r>
          </w:p>
        </w:tc>
        <w:tc>
          <w:tcPr>
            <w:tcW w:w="273" w:type="pct"/>
            <w:tcBorders>
              <w:top w:val="nil"/>
              <w:left w:val="single" w:color="000000" w:sz="4" w:space="0"/>
              <w:bottom w:val="single" w:color="000000" w:sz="4" w:space="0"/>
              <w:right w:val="single" w:color="000000" w:sz="4" w:space="0"/>
            </w:tcBorders>
            <w:noWrap w:val="0"/>
            <w:vAlign w:val="center"/>
          </w:tcPr>
          <w:p w14:paraId="0F5FC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第28年</w:t>
            </w:r>
          </w:p>
        </w:tc>
        <w:tc>
          <w:tcPr>
            <w:tcW w:w="273" w:type="pct"/>
            <w:tcBorders>
              <w:top w:val="nil"/>
              <w:left w:val="single" w:color="000000" w:sz="4" w:space="0"/>
              <w:bottom w:val="single" w:color="000000" w:sz="4" w:space="0"/>
              <w:right w:val="single" w:color="000000" w:sz="4" w:space="0"/>
            </w:tcBorders>
            <w:noWrap w:val="0"/>
            <w:vAlign w:val="center"/>
          </w:tcPr>
          <w:p w14:paraId="5CB88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第29年</w:t>
            </w:r>
          </w:p>
        </w:tc>
        <w:tc>
          <w:tcPr>
            <w:tcW w:w="273" w:type="pct"/>
            <w:tcBorders>
              <w:top w:val="nil"/>
              <w:left w:val="single" w:color="000000" w:sz="4" w:space="0"/>
              <w:bottom w:val="single" w:color="000000" w:sz="4" w:space="0"/>
              <w:right w:val="single" w:color="000000" w:sz="4" w:space="0"/>
            </w:tcBorders>
            <w:noWrap w:val="0"/>
            <w:vAlign w:val="center"/>
          </w:tcPr>
          <w:p w14:paraId="5A198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第30年</w:t>
            </w:r>
          </w:p>
        </w:tc>
        <w:tc>
          <w:tcPr>
            <w:tcW w:w="263" w:type="pct"/>
            <w:tcBorders>
              <w:top w:val="nil"/>
              <w:left w:val="single" w:color="000000" w:sz="4" w:space="0"/>
              <w:bottom w:val="single" w:color="000000" w:sz="4" w:space="0"/>
              <w:right w:val="single" w:color="000000" w:sz="4" w:space="0"/>
            </w:tcBorders>
            <w:noWrap w:val="0"/>
            <w:vAlign w:val="center"/>
          </w:tcPr>
          <w:p w14:paraId="0DDAD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第31年</w:t>
            </w:r>
          </w:p>
        </w:tc>
      </w:tr>
      <w:tr w14:paraId="3691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10638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3E8F2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经营活动产生的净现金流量</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3F2B5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18652.67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78C7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669.86</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69E3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655.11</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D062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636.2</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A03CC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636.2</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63E7B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636.2</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EE27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641.52</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5118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641.52</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F3DF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641.52</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8C9E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646.89</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C109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646.89</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BC80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646.89</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53CB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652.30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9D6E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652.30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41725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652.30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496AE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657.77</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20075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630.57</w:t>
            </w:r>
          </w:p>
        </w:tc>
      </w:tr>
      <w:tr w14:paraId="7285D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50C03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4C2D9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073D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27993.88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671D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972.96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7078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972.96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D598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982.69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B262F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982.69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492A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982.69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BB7F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992.52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13B5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992.52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F9F5C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992.52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F9179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1002.45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4EB4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1002.45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4C2B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1002.45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193C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1012.47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4D5DF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1012.47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65A5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1012.47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41BE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1022.60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25F84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1022.60 </w:t>
            </w:r>
          </w:p>
        </w:tc>
      </w:tr>
      <w:tr w14:paraId="7A440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642A0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58DAFA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经营收入</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BD46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27993.88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FDD3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972.96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42C4D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972.96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5A61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982.69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C0612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982.69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7D683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982.69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7D76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992.52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609B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992.52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BF76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992.52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4F5C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1002.45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971F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1002.45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B3F1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1002.45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8C37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1012.47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E2F28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1012.47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0F0E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1012.47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FF1F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1022.60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202F6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1022.60 </w:t>
            </w:r>
          </w:p>
        </w:tc>
      </w:tr>
      <w:tr w14:paraId="31DD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63316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1A21C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补贴收入</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37B8D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4917A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2049F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E4593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5D71A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D379F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638CF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CDD24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63044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6DBA1D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17B816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3F83A2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E73953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AA778E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D3306F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8DE54C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0A41F6F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5E648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129C8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B3B3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79A77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9341.22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15B67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303.10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B97E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317.85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7BDA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346.49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4A24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346.49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ADC28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346.49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45012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351.00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932AD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351.00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17B3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351.00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C258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355.56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EDC3C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355.56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D43F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355.56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0FEF1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360.17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CBD5A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360.17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80AEB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360.17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84E3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364.83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4C67A0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392.03 </w:t>
            </w:r>
          </w:p>
        </w:tc>
      </w:tr>
      <w:tr w14:paraId="61AE9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3091C7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161FF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经营成本</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B237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7072.66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FCC5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243.74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5F57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243.74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CE35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245.90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F2A6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245.90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2681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245.90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4F1AE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248.09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11F0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248.09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FD5E4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248.09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F2DD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250.29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DA1A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250.29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AF09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250.29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8DD7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252.52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648C9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252.52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AF15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252.52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99F6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254.78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2F2525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254.78 </w:t>
            </w:r>
          </w:p>
        </w:tc>
      </w:tr>
      <w:tr w14:paraId="7082B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37EBC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32902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其他支出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（税金及附加+企业所得税）</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D6C3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2268.56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7E0D1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59.36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523AE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74.11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D91F4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100.59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BEA5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100.59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B544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100.59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0C3C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102.91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1481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102.91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4B22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102.91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98D7A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105.27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AF5C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105.27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764B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105.27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0DE03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107.65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B4F1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107.65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1F15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107.65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EEC56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110.05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404545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137.25 </w:t>
            </w:r>
          </w:p>
        </w:tc>
      </w:tr>
      <w:tr w14:paraId="50B90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5BBD01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10100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投资活动净现金流量</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83C3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-8266.80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29456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11518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14F9A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A1CB1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2D0FE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F7EFF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819F3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E10E0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D5A51E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61C371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B04B7B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FC78FA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A77A82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4FDB60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08D5EE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3A8C359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061EA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6C005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5BCC9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22BC0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E238E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03F09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D6CB4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1B90D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86C25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539E68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98C5B7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F5590D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300C91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1B9DA3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57B636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776672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EBF65E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D79B37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03A38D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4D7A575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17B48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2C7BE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1EE78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913F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8266.80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ED6F6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A9258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B8711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16A86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AB066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8C414D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EE2503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A89295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EF8857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1E3A41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CF3974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29B0D2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4AB0CF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B3BCA6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7A3432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271A02D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6707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4DBB3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1C2F5B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建设投资</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0EE2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8266.80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7BAEA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2A776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EFD36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3CE1F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5A0DA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1D58BD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EE2C28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826B1D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D17CE4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A5ADEF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506917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1A8636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741B2D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15C537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FF4FFB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3A580F0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25019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7B83C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0E53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维持运营投资</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58663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9E42E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A0C64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0B5E2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13A0C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3F457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6D05D5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ECDF47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6A93A7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5580B7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C779EE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8FC113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50D83B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3CB3FF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C35336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2AD366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5AFAFF7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489F8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6A5C6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51A0F0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筹措活动净现金流量</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D74FF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-4734.80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D2BB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5046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B4060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FE7B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F136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FE12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4DBD5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4896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5BE7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0FAF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5C43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DCAA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F8F72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7677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6109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-3617.60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6CF73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-3508.80 </w:t>
            </w:r>
          </w:p>
        </w:tc>
      </w:tr>
      <w:tr w14:paraId="70B6F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37EC1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063B6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9BCC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8600.00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EAF5D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B2229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5DFE3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94528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9071C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C404FB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A729CF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EF61EB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64F84E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05AFCF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713808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E12016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727E14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B1F454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2CD863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035D52B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6A41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254C03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7B86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项目资本金投入</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4A2FD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F8347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1970D7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5E06F6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249272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2075ED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7DE959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926B19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D4F42A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9677DD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19324A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26991C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8B56E1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C8BDF7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0ECB28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F653CE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32EF0C1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1D64F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78774D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ACC8F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专项债券资金</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21F5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4A1AB57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46A967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048F47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68F0F6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EACFC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8DD857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1BE4DA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D34453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3E948B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48387E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4C75F9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D84223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E7B93C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8B64FE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AFA4F8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551E7F3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173E3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0DFDC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03FD06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市场化融资</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2A318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37F4B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78895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27B25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CA444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E6622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7320F5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C9CA27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7EEFB1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D8F0F7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9D3793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8C8EDA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316789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8CDB6B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2581EA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411AB4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7415A07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6AFE1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28371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26633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91366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13334.80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7DE8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9DA4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478DF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40F9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B9F2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581D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A778A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FF50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2743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19C5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85A1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ED11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2A528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9158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F78A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3617.60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01EC9F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3508.80 </w:t>
            </w:r>
          </w:p>
        </w:tc>
      </w:tr>
      <w:tr w14:paraId="22FB4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262F13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335DD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支付债券利息</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B2A4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6528.00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6E6B6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371FB1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06B43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5D2C62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52F97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BBAB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5CED3A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45CD4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CF65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26217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1BCDC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6ED9A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44A33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4BD43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3E948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217.60 </w:t>
            </w:r>
          </w:p>
        </w:tc>
        <w:tc>
          <w:tcPr>
            <w:tcW w:w="263" w:type="pct"/>
            <w:tcBorders>
              <w:top w:val="single" w:color="000000" w:sz="4" w:space="0"/>
              <w:left w:val="single" w:color="000000" w:sz="4" w:space="0"/>
              <w:bottom w:val="single" w:color="000000" w:sz="4" w:space="0"/>
              <w:right w:val="single" w:color="000000" w:sz="4" w:space="0"/>
            </w:tcBorders>
            <w:noWrap w:val="0"/>
            <w:vAlign w:val="center"/>
          </w:tcPr>
          <w:p w14:paraId="76A05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108.80 </w:t>
            </w:r>
          </w:p>
        </w:tc>
      </w:tr>
      <w:tr w14:paraId="1CE72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02BFC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1570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支付债券发行费用</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7497C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42081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ED642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54E14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CFE0E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507B4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89389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47A67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E890B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E88BCD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93D769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DB2832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5DB383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0ABC20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30EDD8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B8A06B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1A6716A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4997A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52FA1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331E8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支付市场化融资利息</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CECD5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644A3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31291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1A7A2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E94BE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9868A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DCC96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279F8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D91F7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EC0F86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0C81D1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E1E807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3287A4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F1FACE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C47E85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23E377B">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4D0F4FA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2EDCA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5F394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913A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支付市场化融资发行费用</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E989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BE20C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21AD6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FA192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6A15F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B173C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1CAFD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3FDD8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7B7EF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D38DDF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3ABCBF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061838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408AD4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89EF77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E052ED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A445E8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485F451E">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29344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22873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579" w:type="pct"/>
            <w:tcBorders>
              <w:top w:val="single" w:color="000000" w:sz="4" w:space="0"/>
              <w:left w:val="single" w:color="000000" w:sz="4" w:space="0"/>
              <w:bottom w:val="single" w:color="000000" w:sz="4" w:space="0"/>
              <w:right w:val="single" w:color="000000" w:sz="4" w:space="0"/>
            </w:tcBorders>
            <w:noWrap/>
            <w:vAlign w:val="center"/>
          </w:tcPr>
          <w:p w14:paraId="58AD45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支付专项债券本金</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B86D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317D3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3C94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30A4A1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74F9F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6CFD2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47A67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0C1C5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3458D3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4C279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0"/>
            <w:vAlign w:val="center"/>
          </w:tcPr>
          <w:p w14:paraId="6C742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7A8209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4F718D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1D08A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478FC3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3" w:type="pct"/>
            <w:tcBorders>
              <w:top w:val="single" w:color="000000" w:sz="4" w:space="0"/>
              <w:left w:val="single" w:color="000000" w:sz="4" w:space="0"/>
              <w:bottom w:val="single" w:color="000000" w:sz="4" w:space="0"/>
              <w:right w:val="single" w:color="000000" w:sz="4" w:space="0"/>
            </w:tcBorders>
            <w:noWrap w:val="0"/>
            <w:vAlign w:val="center"/>
          </w:tcPr>
          <w:p w14:paraId="33418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3400.00 </w:t>
            </w:r>
          </w:p>
        </w:tc>
        <w:tc>
          <w:tcPr>
            <w:tcW w:w="263" w:type="pct"/>
            <w:tcBorders>
              <w:top w:val="single" w:color="000000" w:sz="4" w:space="0"/>
              <w:left w:val="single" w:color="000000" w:sz="4" w:space="0"/>
              <w:bottom w:val="single" w:color="000000" w:sz="4" w:space="0"/>
              <w:right w:val="single" w:color="000000" w:sz="4" w:space="0"/>
            </w:tcBorders>
            <w:noWrap w:val="0"/>
            <w:vAlign w:val="center"/>
          </w:tcPr>
          <w:p w14:paraId="1DB4F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3400.00 </w:t>
            </w:r>
          </w:p>
        </w:tc>
      </w:tr>
      <w:tr w14:paraId="0C8E1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19E03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DC42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支付市场化融资本金</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E0C2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A670FE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19CEC2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3DD851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C3084C1">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69A914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E98169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1B71C40">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8CAC80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3B4C58C">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9F7908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B9FA60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27034A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31AFDD4">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CEDA7A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66946BF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1888CFFD">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0931E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05E93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380E33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现金流量总计</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8713A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0FB59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13877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0DDA9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F2AB7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3D8A1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435DB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9C4A1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04BAC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9AF129A">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D8ADE68">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01B6987">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16A7BE5">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C0C9D4F">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45756C3">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51A4A52">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7867B5B6">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14:paraId="02AEE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06ED8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4F807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项目期的期初资金</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C3F4E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F3A5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5479.83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EAB7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5932.09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C17CD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6369.60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907D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6788.20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8E9A5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7206.80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BF2A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7625.40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3022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8049.32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ACB1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8473.24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2C1F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8897.16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01EB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9326.45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8D659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9755.74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16129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10185.03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15E7B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10619.73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D299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11054.43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A44D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11489.13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78085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8529.30 </w:t>
            </w:r>
          </w:p>
        </w:tc>
      </w:tr>
      <w:tr w14:paraId="4FD11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5EAFB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3CA0FF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项目期内现金变动（一+二+三）</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3ECF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5651.07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904B9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452.26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DB8E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437.51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5ACCB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418.60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B9B27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418.60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7BA7E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418.60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914D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423.92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D3B1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423.92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64587F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423.92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8C00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429.29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34C74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429.29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085D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429.29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4F78EC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434.70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D6B4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434.70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954D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434.70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EDD3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-2959.83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49EDE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-2878.23 </w:t>
            </w:r>
          </w:p>
        </w:tc>
      </w:tr>
      <w:tr w14:paraId="092C2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148" w:type="pct"/>
            <w:tcBorders>
              <w:top w:val="single" w:color="000000" w:sz="4" w:space="0"/>
              <w:left w:val="single" w:color="000000" w:sz="4" w:space="0"/>
              <w:bottom w:val="single" w:color="000000" w:sz="4" w:space="0"/>
              <w:right w:val="single" w:color="000000" w:sz="4" w:space="0"/>
            </w:tcBorders>
            <w:noWrap w:val="0"/>
            <w:vAlign w:val="center"/>
          </w:tcPr>
          <w:p w14:paraId="5E2DD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5E08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项目期的期末资金</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2644E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784A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5932.09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A5AA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6369.60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22D20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6788.20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1335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7206.80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170D3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7625.40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9F9FB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8049.32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1109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8473.24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038C2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8897.16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491B8C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9326.45 </w:t>
            </w:r>
          </w:p>
        </w:tc>
        <w:tc>
          <w:tcPr>
            <w:tcW w:w="237" w:type="pct"/>
            <w:tcBorders>
              <w:top w:val="single" w:color="000000" w:sz="4" w:space="0"/>
              <w:left w:val="single" w:color="000000" w:sz="4" w:space="0"/>
              <w:bottom w:val="single" w:color="000000" w:sz="4" w:space="0"/>
              <w:right w:val="single" w:color="000000" w:sz="4" w:space="0"/>
            </w:tcBorders>
            <w:noWrap/>
            <w:vAlign w:val="center"/>
          </w:tcPr>
          <w:p w14:paraId="2E375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9755.74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37127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10185.03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53117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10619.73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71B46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11054.43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2E05F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11489.13 </w:t>
            </w:r>
          </w:p>
        </w:tc>
        <w:tc>
          <w:tcPr>
            <w:tcW w:w="273" w:type="pct"/>
            <w:tcBorders>
              <w:top w:val="single" w:color="000000" w:sz="4" w:space="0"/>
              <w:left w:val="single" w:color="000000" w:sz="4" w:space="0"/>
              <w:bottom w:val="single" w:color="000000" w:sz="4" w:space="0"/>
              <w:right w:val="single" w:color="000000" w:sz="4" w:space="0"/>
            </w:tcBorders>
            <w:noWrap/>
            <w:vAlign w:val="center"/>
          </w:tcPr>
          <w:p w14:paraId="0FE4F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8529.30 </w:t>
            </w:r>
          </w:p>
        </w:tc>
        <w:tc>
          <w:tcPr>
            <w:tcW w:w="263" w:type="pct"/>
            <w:tcBorders>
              <w:top w:val="single" w:color="000000" w:sz="4" w:space="0"/>
              <w:left w:val="single" w:color="000000" w:sz="4" w:space="0"/>
              <w:bottom w:val="single" w:color="000000" w:sz="4" w:space="0"/>
              <w:right w:val="single" w:color="000000" w:sz="4" w:space="0"/>
            </w:tcBorders>
            <w:noWrap/>
            <w:vAlign w:val="center"/>
          </w:tcPr>
          <w:p w14:paraId="1548E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5651.07 </w:t>
            </w:r>
          </w:p>
        </w:tc>
      </w:tr>
    </w:tbl>
    <w:p w14:paraId="4DA9D65D"/>
    <w:p w14:paraId="0371C97E">
      <w:pPr>
        <w:sectPr>
          <w:pgSz w:w="16838" w:h="11906"/>
          <w:pgMar w:top="1644" w:right="2098" w:bottom="1418" w:left="1588" w:header="851" w:footer="992" w:gutter="0"/>
          <w:cols w:space="720" w:num="1"/>
          <w:docGrid w:type="lines" w:linePitch="435" w:charSpace="0"/>
        </w:sectPr>
      </w:pPr>
    </w:p>
    <w:p w14:paraId="506F55A5">
      <w:pPr>
        <w:pStyle w:val="16"/>
        <w:spacing w:line="580" w:lineRule="exact"/>
        <w:outlineLvl w:val="0"/>
        <w:rPr>
          <w:rStyle w:val="19"/>
          <w:rFonts w:ascii="仿宋" w:hAnsi="仿宋" w:eastAsia="仿宋"/>
          <w:b/>
          <w:bCs/>
          <w:sz w:val="32"/>
          <w:szCs w:val="32"/>
        </w:rPr>
      </w:pPr>
      <w:r>
        <w:rPr>
          <w:rStyle w:val="19"/>
          <w:rFonts w:ascii="仿宋" w:hAnsi="仿宋" w:eastAsia="仿宋"/>
          <w:b/>
          <w:bCs/>
          <w:sz w:val="32"/>
          <w:szCs w:val="32"/>
        </w:rPr>
        <w:t>五、项目绩效目标</w:t>
      </w:r>
    </w:p>
    <w:p w14:paraId="13B01130">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目标1：新建实训楼约12000平方米及相关附属工程。</w:t>
      </w:r>
    </w:p>
    <w:p w14:paraId="607F450C">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目标2：购置四轮定位仪、制动性能测试台、悬架系统拆装实训台、转向系统拆装实训台废气排放分析仪、汽车空调维修设备等实训设施设备。</w:t>
      </w:r>
    </w:p>
    <w:p w14:paraId="4DFE569A">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目标3：债券存续期内实现年度收支平衡和总体收支平衡。</w:t>
      </w:r>
    </w:p>
    <w:p w14:paraId="25193029">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目标4：推进现代职业教育体系建设改革，完善职业中学规划。</w:t>
      </w:r>
    </w:p>
    <w:p w14:paraId="6A78565E">
      <w:pPr>
        <w:pStyle w:val="16"/>
        <w:spacing w:line="580" w:lineRule="exact"/>
        <w:ind w:firstLine="643" w:firstLineChars="200"/>
        <w:outlineLvl w:val="0"/>
        <w:rPr>
          <w:rStyle w:val="19"/>
          <w:rFonts w:ascii="仿宋" w:hAnsi="仿宋" w:eastAsia="仿宋"/>
          <w:b/>
          <w:bCs/>
          <w:sz w:val="32"/>
          <w:szCs w:val="32"/>
        </w:rPr>
      </w:pPr>
      <w:r>
        <w:rPr>
          <w:rStyle w:val="19"/>
          <w:rFonts w:ascii="仿宋" w:hAnsi="仿宋" w:eastAsia="仿宋"/>
          <w:b/>
          <w:bCs/>
          <w:sz w:val="32"/>
          <w:szCs w:val="32"/>
        </w:rPr>
        <w:t>六、潜在影响项目的风险评估</w:t>
      </w:r>
    </w:p>
    <w:p w14:paraId="24264F60">
      <w:pPr>
        <w:pStyle w:val="16"/>
        <w:spacing w:after="0" w:line="580" w:lineRule="exact"/>
        <w:ind w:firstLine="602" w:firstLineChars="200"/>
        <w:jc w:val="both"/>
        <w:outlineLvl w:val="1"/>
        <w:rPr>
          <w:rStyle w:val="19"/>
          <w:rFonts w:ascii="仿宋" w:hAnsi="仿宋" w:eastAsia="仿宋"/>
          <w:b/>
          <w:bCs/>
          <w:sz w:val="30"/>
          <w:szCs w:val="30"/>
        </w:rPr>
      </w:pPr>
      <w:r>
        <w:rPr>
          <w:rStyle w:val="19"/>
          <w:rFonts w:ascii="仿宋" w:hAnsi="仿宋" w:eastAsia="仿宋"/>
          <w:b/>
          <w:bCs/>
          <w:sz w:val="30"/>
          <w:szCs w:val="30"/>
        </w:rPr>
        <w:t xml:space="preserve">（一）影响项目施工进度或正常运营的风险及控制措施 </w:t>
      </w:r>
    </w:p>
    <w:p w14:paraId="70996E0C">
      <w:pPr>
        <w:spacing w:line="580" w:lineRule="exact"/>
        <w:ind w:firstLine="640" w:firstLineChars="200"/>
        <w:rPr>
          <w:rStyle w:val="19"/>
          <w:rFonts w:ascii="仿宋" w:hAnsi="仿宋" w:eastAsia="仿宋"/>
          <w:sz w:val="30"/>
          <w:szCs w:val="30"/>
        </w:rPr>
      </w:pPr>
      <w:r>
        <w:rPr>
          <w:rFonts w:ascii="仿宋" w:hAnsi="仿宋" w:eastAsia="仿宋" w:cs="仿宋_GB2312"/>
          <w:sz w:val="32"/>
          <w:szCs w:val="32"/>
        </w:rPr>
        <w:t>恶劣的自然条件：通过购买保险进行风险转移；来源于供应商和施工者的 风险：选择有资质供应商和施工方；设计变更导致的风险：明确质量标准；资金落实不到位：加强管理；产生事故：对施工安全情况进行评估。</w:t>
      </w:r>
    </w:p>
    <w:p w14:paraId="167F92EA">
      <w:pPr>
        <w:pStyle w:val="16"/>
        <w:spacing w:after="0" w:line="580" w:lineRule="exact"/>
        <w:ind w:firstLine="602" w:firstLineChars="200"/>
        <w:jc w:val="both"/>
        <w:outlineLvl w:val="1"/>
        <w:rPr>
          <w:rStyle w:val="19"/>
          <w:rFonts w:ascii="仿宋" w:hAnsi="仿宋" w:eastAsia="仿宋"/>
          <w:b/>
          <w:bCs/>
          <w:sz w:val="30"/>
          <w:szCs w:val="30"/>
        </w:rPr>
      </w:pPr>
      <w:r>
        <w:rPr>
          <w:rStyle w:val="19"/>
          <w:rFonts w:ascii="仿宋" w:hAnsi="仿宋" w:eastAsia="仿宋"/>
          <w:b/>
          <w:bCs/>
          <w:sz w:val="30"/>
          <w:szCs w:val="30"/>
        </w:rPr>
        <w:t xml:space="preserve">（二）影响项目收益的风险及控制措施 </w:t>
      </w:r>
    </w:p>
    <w:p w14:paraId="779F0884">
      <w:pPr>
        <w:spacing w:line="580" w:lineRule="exact"/>
        <w:ind w:firstLine="640" w:firstLineChars="200"/>
        <w:rPr>
          <w:rFonts w:cs="仿宋_GB2312"/>
          <w:sz w:val="32"/>
          <w:szCs w:val="32"/>
        </w:rPr>
      </w:pPr>
      <w:r>
        <w:rPr>
          <w:rFonts w:ascii="仿宋" w:hAnsi="仿宋" w:eastAsia="仿宋" w:cs="仿宋_GB2312"/>
          <w:sz w:val="32"/>
          <w:szCs w:val="32"/>
        </w:rPr>
        <w:t>生产经营不确定性带来的风险：要求项目管理单位关注土地出让情况，保证还本付息资金；市场经济环境变化产生的风险：合理分配债券的额度和期限财务成本上涨的风险：加强施工预算管理，在施工中合理控制成本。</w:t>
      </w:r>
    </w:p>
    <w:p w14:paraId="1DBB06BD">
      <w:pPr>
        <w:pStyle w:val="16"/>
        <w:spacing w:after="0" w:line="580" w:lineRule="exact"/>
        <w:ind w:firstLine="602" w:firstLineChars="200"/>
        <w:jc w:val="both"/>
        <w:outlineLvl w:val="1"/>
        <w:rPr>
          <w:rStyle w:val="19"/>
          <w:rFonts w:ascii="仿宋" w:hAnsi="仿宋" w:eastAsia="仿宋"/>
          <w:b/>
          <w:bCs/>
          <w:sz w:val="30"/>
          <w:szCs w:val="30"/>
        </w:rPr>
      </w:pPr>
      <w:r>
        <w:rPr>
          <w:rStyle w:val="19"/>
          <w:rFonts w:ascii="仿宋" w:hAnsi="仿宋" w:eastAsia="仿宋"/>
          <w:b/>
          <w:bCs/>
          <w:sz w:val="30"/>
          <w:szCs w:val="30"/>
        </w:rPr>
        <w:t xml:space="preserve">（三）影响融资平衡结果的风险及控制措施 </w:t>
      </w:r>
    </w:p>
    <w:p w14:paraId="2CB524B5">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投资测算不准确的风险：对测算中的基本假设做合理性评估，复核测算结果；利率波动带来的风险：可约定提前还债；严格执行债券风险预警机制。</w:t>
      </w:r>
    </w:p>
    <w:p w14:paraId="59895DD3">
      <w:pPr>
        <w:pStyle w:val="16"/>
        <w:spacing w:line="580" w:lineRule="exact"/>
        <w:ind w:firstLine="643" w:firstLineChars="200"/>
        <w:outlineLvl w:val="0"/>
        <w:rPr>
          <w:rStyle w:val="19"/>
          <w:rFonts w:ascii="仿宋" w:hAnsi="仿宋" w:eastAsia="仿宋"/>
          <w:b/>
          <w:bCs/>
          <w:sz w:val="32"/>
          <w:szCs w:val="32"/>
        </w:rPr>
      </w:pPr>
      <w:r>
        <w:rPr>
          <w:rStyle w:val="19"/>
          <w:rFonts w:ascii="仿宋" w:hAnsi="仿宋" w:eastAsia="仿宋"/>
          <w:b/>
          <w:bCs/>
          <w:sz w:val="32"/>
          <w:szCs w:val="32"/>
        </w:rPr>
        <w:t>七、还款保障情况</w:t>
      </w:r>
    </w:p>
    <w:p w14:paraId="49926B3E">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32D8E2AE">
      <w:pPr>
        <w:pStyle w:val="16"/>
        <w:spacing w:line="580" w:lineRule="exact"/>
        <w:ind w:firstLine="643" w:firstLineChars="200"/>
        <w:outlineLvl w:val="0"/>
        <w:rPr>
          <w:rStyle w:val="19"/>
          <w:rFonts w:ascii="仿宋" w:hAnsi="仿宋" w:eastAsia="仿宋"/>
          <w:b/>
          <w:bCs/>
          <w:sz w:val="32"/>
          <w:szCs w:val="32"/>
        </w:rPr>
      </w:pPr>
      <w:r>
        <w:rPr>
          <w:rStyle w:val="19"/>
          <w:rFonts w:hint="eastAsia" w:ascii="仿宋" w:hAnsi="仿宋" w:eastAsia="仿宋"/>
          <w:b/>
          <w:bCs/>
          <w:sz w:val="32"/>
          <w:szCs w:val="32"/>
        </w:rPr>
        <w:t>八、</w:t>
      </w:r>
      <w:r>
        <w:rPr>
          <w:rStyle w:val="19"/>
          <w:rFonts w:ascii="仿宋" w:hAnsi="仿宋" w:eastAsia="仿宋"/>
          <w:b/>
          <w:bCs/>
          <w:sz w:val="32"/>
          <w:szCs w:val="32"/>
        </w:rPr>
        <w:t>主管部门</w:t>
      </w:r>
      <w:r>
        <w:rPr>
          <w:rStyle w:val="19"/>
          <w:rFonts w:hint="eastAsia" w:ascii="仿宋" w:hAnsi="仿宋" w:eastAsia="仿宋"/>
          <w:b/>
          <w:bCs/>
          <w:sz w:val="32"/>
          <w:szCs w:val="32"/>
        </w:rPr>
        <w:t>及项目单位</w:t>
      </w:r>
      <w:r>
        <w:rPr>
          <w:rStyle w:val="19"/>
          <w:rFonts w:ascii="仿宋" w:hAnsi="仿宋" w:eastAsia="仿宋"/>
          <w:b/>
          <w:bCs/>
          <w:sz w:val="32"/>
          <w:szCs w:val="32"/>
        </w:rPr>
        <w:t>职责</w:t>
      </w:r>
    </w:p>
    <w:p w14:paraId="2E735752">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本项目的主管部门为</w:t>
      </w:r>
      <w:r>
        <w:rPr>
          <w:rFonts w:hint="eastAsia" w:ascii="仿宋" w:hAnsi="仿宋" w:eastAsia="仿宋" w:cs="仿宋_GB2312"/>
          <w:sz w:val="32"/>
          <w:szCs w:val="32"/>
          <w:lang w:val="en-US" w:eastAsia="zh-CN"/>
        </w:rPr>
        <w:t>南充市顺庆区教育和体育</w:t>
      </w:r>
      <w:bookmarkStart w:id="12" w:name="_GoBack"/>
      <w:bookmarkEnd w:id="12"/>
      <w:r>
        <w:rPr>
          <w:rFonts w:hint="eastAsia" w:ascii="仿宋" w:hAnsi="仿宋" w:eastAsia="仿宋" w:cs="仿宋_GB2312"/>
          <w:sz w:val="32"/>
          <w:szCs w:val="32"/>
          <w:lang w:val="en-US" w:eastAsia="zh-CN"/>
        </w:rPr>
        <w:t>局</w:t>
      </w:r>
      <w:r>
        <w:rPr>
          <w:rFonts w:hint="eastAsia" w:ascii="仿宋" w:hAnsi="仿宋" w:eastAsia="仿宋" w:cs="仿宋_GB2312"/>
          <w:sz w:val="32"/>
          <w:szCs w:val="32"/>
        </w:rPr>
        <w:t>，职责为负责对本部门专项债券项目审核把关，指导和监督项目单位做好资产管理，汇总本行业专项债券形成资产情况并报本级财政部门；加强项目运营监管，推动项目尽快建成投运，动态跟踪项目运营情况；督促运营主体及时足额将运营收入按规定缴入财政，对收入无法偿还债券本息的，及时研究提出工作措施。</w:t>
      </w:r>
    </w:p>
    <w:p w14:paraId="04B93944">
      <w:pPr>
        <w:spacing w:line="580" w:lineRule="exact"/>
        <w:ind w:firstLine="640" w:firstLineChars="200"/>
      </w:pPr>
      <w:r>
        <w:rPr>
          <w:rFonts w:hint="eastAsia" w:ascii="仿宋" w:hAnsi="仿宋" w:eastAsia="仿宋" w:cs="仿宋_GB2312"/>
          <w:sz w:val="32"/>
          <w:szCs w:val="32"/>
        </w:rPr>
        <w:t>本项目的项目单位为</w:t>
      </w:r>
      <w:r>
        <w:rPr>
          <w:rFonts w:hint="eastAsia" w:ascii="仿宋" w:hAnsi="仿宋" w:eastAsia="仿宋" w:cs="仿宋_GB2312"/>
          <w:sz w:val="32"/>
          <w:szCs w:val="32"/>
          <w:lang w:val="en-US" w:eastAsia="zh-CN"/>
        </w:rPr>
        <w:t>南充市建华高级职业中学</w:t>
      </w:r>
      <w:r>
        <w:rPr>
          <w:rFonts w:hint="eastAsia" w:ascii="仿宋" w:hAnsi="仿宋" w:eastAsia="仿宋" w:cs="仿宋_GB2312"/>
          <w:sz w:val="32"/>
          <w:szCs w:val="32"/>
        </w:rPr>
        <w:t>。职责为负责提出本项目需求申请，编制报送项目实施方案及相关资料，配合做好债券发行准备。规范使用债券资金，及时形成支出，提高资金使用效益。项目单位制定项目建设计划，加快项目建设进度，确保项目各阶段任务按计划时间完成。加强项目运营管理，对专项债券项目运营收支专账核算，持续提升运营能力。定期评估项目成本、预期收益和对应资产价值等，发现风险或异常情况及时向主管部门报告。编制专项债券收支、偿还计划并纳入单位年度预算管理，将债券项目收入及时足额缴入国库。做好数据填报、信息公开等相关工作。对专项债券形成资产规划、初始论证、权属确定等工作，按规定登记专项债券形成资产明细台账，及时向本级财政、主管部门报告。</w:t>
      </w:r>
    </w:p>
    <w:p w14:paraId="61DA43AF">
      <w:pPr>
        <w:pStyle w:val="16"/>
        <w:spacing w:after="0" w:line="580" w:lineRule="exact"/>
        <w:ind w:firstLine="643" w:firstLineChars="200"/>
        <w:outlineLvl w:val="0"/>
        <w:rPr>
          <w:rStyle w:val="19"/>
          <w:rFonts w:ascii="仿宋" w:hAnsi="仿宋" w:eastAsia="仿宋"/>
          <w:b/>
          <w:bCs/>
          <w:sz w:val="32"/>
          <w:szCs w:val="32"/>
        </w:rPr>
      </w:pPr>
      <w:r>
        <w:rPr>
          <w:rStyle w:val="19"/>
          <w:rFonts w:hint="eastAsia" w:ascii="仿宋" w:hAnsi="仿宋" w:eastAsia="仿宋"/>
          <w:b/>
          <w:bCs/>
          <w:sz w:val="32"/>
          <w:szCs w:val="32"/>
        </w:rPr>
        <w:t>九、</w:t>
      </w:r>
      <w:r>
        <w:rPr>
          <w:rStyle w:val="19"/>
          <w:rFonts w:ascii="仿宋" w:hAnsi="仿宋" w:eastAsia="仿宋"/>
          <w:b/>
          <w:bCs/>
          <w:sz w:val="32"/>
          <w:szCs w:val="32"/>
        </w:rPr>
        <w:t>补充说明</w:t>
      </w:r>
    </w:p>
    <w:p w14:paraId="1574D62C">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此项目债券资金总需求</w:t>
      </w:r>
      <w:r>
        <w:rPr>
          <w:rFonts w:hint="eastAsia" w:ascii="仿宋" w:hAnsi="仿宋" w:eastAsia="仿宋" w:cs="仿宋_GB2312"/>
          <w:sz w:val="32"/>
          <w:szCs w:val="32"/>
          <w:lang w:val="en-US" w:eastAsia="zh-CN"/>
        </w:rPr>
        <w:t>6800</w:t>
      </w:r>
      <w:r>
        <w:rPr>
          <w:rFonts w:hint="eastAsia" w:ascii="仿宋" w:hAnsi="仿宋" w:eastAsia="仿宋" w:cs="仿宋_GB2312"/>
          <w:sz w:val="32"/>
          <w:szCs w:val="32"/>
        </w:rPr>
        <w:t>万元，根据地方政府债务限额管理要求和项目实施进展情况,本次拟发行</w:t>
      </w:r>
      <w:r>
        <w:rPr>
          <w:rFonts w:hint="eastAsia" w:ascii="仿宋" w:hAnsi="仿宋" w:eastAsia="仿宋" w:cs="仿宋_GB2312"/>
          <w:sz w:val="32"/>
          <w:szCs w:val="32"/>
          <w:lang w:val="en-US" w:eastAsia="zh-CN"/>
        </w:rPr>
        <w:t>3000</w:t>
      </w:r>
      <w:r>
        <w:rPr>
          <w:rFonts w:hint="eastAsia" w:ascii="仿宋" w:hAnsi="仿宋" w:eastAsia="仿宋" w:cs="仿宋_GB2312"/>
          <w:sz w:val="32"/>
          <w:szCs w:val="32"/>
        </w:rPr>
        <w:t>万元，期限</w:t>
      </w:r>
      <w:r>
        <w:rPr>
          <w:rFonts w:hint="eastAsia" w:ascii="仿宋" w:hAnsi="仿宋" w:eastAsia="仿宋" w:cs="仿宋_GB2312"/>
          <w:sz w:val="32"/>
          <w:szCs w:val="32"/>
          <w:lang w:val="en-US" w:eastAsia="zh-CN"/>
        </w:rPr>
        <w:t>30</w:t>
      </w:r>
      <w:r>
        <w:rPr>
          <w:rFonts w:hint="eastAsia" w:ascii="仿宋" w:hAnsi="仿宋" w:eastAsia="仿宋" w:cs="仿宋_GB2312"/>
          <w:sz w:val="32"/>
          <w:szCs w:val="32"/>
        </w:rPr>
        <w:t>年。</w:t>
      </w:r>
    </w:p>
    <w:sectPr>
      <w:headerReference r:id="rId12" w:type="default"/>
      <w:footerReference r:id="rId13" w:type="default"/>
      <w:pgSz w:w="11906" w:h="16838"/>
      <w:pgMar w:top="2098" w:right="1418" w:bottom="1588" w:left="1644" w:header="851" w:footer="992"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13E0181A-4E07-4E18-AA07-535D2AAE5D27}"/>
  </w:font>
  <w:font w:name="仿宋_GB2312">
    <w:panose1 w:val="02010609030101010101"/>
    <w:charset w:val="86"/>
    <w:family w:val="modern"/>
    <w:pitch w:val="default"/>
    <w:sig w:usb0="00000001" w:usb1="080E0000" w:usb2="00000000" w:usb3="00000000" w:csb0="00040000" w:csb1="00000000"/>
    <w:embedRegular r:id="rId2" w:fontKey="{1C252834-0668-477E-A40A-C7585342A8E5}"/>
  </w:font>
  <w:font w:name="Cambria">
    <w:panose1 w:val="02040503050406030204"/>
    <w:charset w:val="00"/>
    <w:family w:val="roman"/>
    <w:pitch w:val="default"/>
    <w:sig w:usb0="E00006FF" w:usb1="420024FF" w:usb2="02000000" w:usb3="00000000" w:csb0="2000019F" w:csb1="00000000"/>
  </w:font>
  <w:font w:name="Univers 45 Light">
    <w:altName w:val="Courier New"/>
    <w:panose1 w:val="00000000000000000000"/>
    <w:charset w:val="00"/>
    <w:family w:val="swiss"/>
    <w:pitch w:val="default"/>
    <w:sig w:usb0="00000000" w:usb1="00000000" w:usb2="00000000" w:usb3="00000000" w:csb0="00000001" w:csb1="00000000"/>
  </w:font>
  <w:font w:name="方正仿宋_GB2312">
    <w:panose1 w:val="02000000000000000000"/>
    <w:charset w:val="86"/>
    <w:family w:val="auto"/>
    <w:pitch w:val="default"/>
    <w:sig w:usb0="A00002BF" w:usb1="184F6CFA" w:usb2="00000012" w:usb3="00000000" w:csb0="00040001" w:csb1="00000000"/>
    <w:embedRegular r:id="rId3" w:fontKey="{6C0D043F-F118-4AB6-96A2-EEBCF258D60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7523733"/>
      <w:docPartObj>
        <w:docPartGallery w:val="autotext"/>
      </w:docPartObj>
    </w:sdtPr>
    <w:sdtContent>
      <w:p w14:paraId="7CD90D7A">
        <w:pPr>
          <w:pStyle w:val="10"/>
          <w:jc w:val="center"/>
        </w:pPr>
        <w:r>
          <w:fldChar w:fldCharType="begin"/>
        </w:r>
        <w:r>
          <w:instrText xml:space="preserve">PAGE   \* MERGEFORMAT</w:instrText>
        </w:r>
        <w:r>
          <w:fldChar w:fldCharType="separate"/>
        </w:r>
        <w:r>
          <w:rPr>
            <w:lang w:val="zh-CN"/>
          </w:rPr>
          <w:t>1</w:t>
        </w:r>
        <w:r>
          <w:fldChar w:fldCharType="end"/>
        </w:r>
      </w:p>
    </w:sdtContent>
  </w:sdt>
  <w:p w14:paraId="54A7218B">
    <w:pPr>
      <w:pStyle w:val="6"/>
      <w:spacing w:line="14" w:lineRule="auto"/>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E6309">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13AF8">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278E">
    <w:pPr>
      <w:pStyle w:val="10"/>
      <w:jc w:val="center"/>
      <w:rPr>
        <w:rStyle w:val="19"/>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53365" cy="220980"/>
              <wp:effectExtent l="0" t="0" r="0" b="0"/>
              <wp:wrapNone/>
              <wp:docPr id="2" name="文本框 4"/>
              <wp:cNvGraphicFramePr/>
              <a:graphic xmlns:a="http://schemas.openxmlformats.org/drawingml/2006/main">
                <a:graphicData uri="http://schemas.microsoft.com/office/word/2010/wordprocessingShape">
                  <wps:wsp>
                    <wps:cNvSpPr txBox="1"/>
                    <wps:spPr>
                      <a:xfrm>
                        <a:off x="0" y="0"/>
                        <a:ext cx="253365" cy="220980"/>
                      </a:xfrm>
                      <a:prstGeom prst="rect">
                        <a:avLst/>
                      </a:prstGeom>
                      <a:noFill/>
                      <a:ln w="6350">
                        <a:noFill/>
                      </a:ln>
                    </wps:spPr>
                    <wps:txbx>
                      <w:txbxContent>
                        <w:p w14:paraId="50588763">
                          <w:pPr>
                            <w:pStyle w:val="10"/>
                            <w:rPr>
                              <w:rFonts w:eastAsia="宋体"/>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lIns="0" tIns="0" rIns="0" bIns="0" upright="1"/>
                  </wps:wsp>
                </a:graphicData>
              </a:graphic>
            </wp:anchor>
          </w:drawing>
        </mc:Choice>
        <mc:Fallback>
          <w:pict>
            <v:shape id="文本框 4" o:spid="_x0000_s1026" o:spt="202" type="#_x0000_t202" style="position:absolute;left:0pt;margin-top:0pt;height:17.4pt;width:19.95pt;mso-position-horizontal:center;mso-position-horizontal-relative:margin;z-index:251659264;mso-width-relative:page;mso-height-relative:page;" filled="f" stroked="f" coordsize="21600,21600" o:gfxdata="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RIjWDTAAAAAwEAAA8AAAAAAAAAAQAgAAAAIgAAAGRycy9kb3ducmV2LnhtbFBL&#10;AQIUABQAAAAIAIdO4kC+zL61wgEAAHoDAAAOAAAAAAAAAAEAIAAAACIBAABkcnMvZTJvRG9jLnht&#10;bFBLBQYAAAAABgAGAFkBAABWBQAAAAA=&#10;">
              <v:fill on="f" focussize="0,0"/>
              <v:stroke on="f" weight="0.5pt"/>
              <v:imagedata o:title=""/>
              <o:lock v:ext="edit" aspectratio="f"/>
              <v:textbox inset="0mm,0mm,0mm,0mm">
                <w:txbxContent>
                  <w:p w14:paraId="50588763">
                    <w:pPr>
                      <w:pStyle w:val="10"/>
                      <w:rPr>
                        <w:rFonts w:eastAsia="宋体"/>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8075E">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02096">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B4B2A">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FC3B">
    <w:pPr>
      <w:pStyle w:val="1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5E31">
    <w:pPr>
      <w:pStyle w:val="1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5A551">
    <w:pPr>
      <w:pStyle w:val="1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3482">
    <w:pPr>
      <w:pStyle w:val="11"/>
      <w:ind w:firstLine="360"/>
      <w:rPr>
        <w:rStyle w:val="19"/>
      </w:rPr>
    </w:pPr>
    <w:r>
      <w:br w:type="pag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3836A"/>
    <w:multiLevelType w:val="singleLevel"/>
    <w:tmpl w:val="C313836A"/>
    <w:lvl w:ilvl="0" w:tentative="0">
      <w:start w:val="2"/>
      <w:numFmt w:val="chineseCounting"/>
      <w:suff w:val="nothing"/>
      <w:lvlText w:val="%1、"/>
      <w:lvlJc w:val="left"/>
      <w:pPr>
        <w:textAlignment w:val="baseline"/>
      </w:pPr>
    </w:lvl>
  </w:abstractNum>
  <w:abstractNum w:abstractNumId="1">
    <w:nsid w:val="6A9CF1D9"/>
    <w:multiLevelType w:val="singleLevel"/>
    <w:tmpl w:val="6A9CF1D9"/>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ODcwYzEwZWZiMzcyZTgzYjcxYTZkZDBkZTc2ZWEifQ=="/>
  </w:docVars>
  <w:rsids>
    <w:rsidRoot w:val="00706B92"/>
    <w:rsid w:val="000802CC"/>
    <w:rsid w:val="0009013D"/>
    <w:rsid w:val="000A0F5B"/>
    <w:rsid w:val="000A6997"/>
    <w:rsid w:val="000C1258"/>
    <w:rsid w:val="000D6EF8"/>
    <w:rsid w:val="001100D3"/>
    <w:rsid w:val="001317F1"/>
    <w:rsid w:val="00143E2A"/>
    <w:rsid w:val="00185322"/>
    <w:rsid w:val="002416D1"/>
    <w:rsid w:val="00252F6F"/>
    <w:rsid w:val="00320957"/>
    <w:rsid w:val="00330AE9"/>
    <w:rsid w:val="003B035A"/>
    <w:rsid w:val="004137BD"/>
    <w:rsid w:val="00454408"/>
    <w:rsid w:val="00462FE7"/>
    <w:rsid w:val="004B452A"/>
    <w:rsid w:val="005555F5"/>
    <w:rsid w:val="00556BBB"/>
    <w:rsid w:val="00582DBA"/>
    <w:rsid w:val="005B4E19"/>
    <w:rsid w:val="00607B9C"/>
    <w:rsid w:val="006124F0"/>
    <w:rsid w:val="0064170B"/>
    <w:rsid w:val="00687824"/>
    <w:rsid w:val="006A4535"/>
    <w:rsid w:val="006F3172"/>
    <w:rsid w:val="00706B92"/>
    <w:rsid w:val="00727361"/>
    <w:rsid w:val="00782DD1"/>
    <w:rsid w:val="007C6839"/>
    <w:rsid w:val="007D750E"/>
    <w:rsid w:val="008453BF"/>
    <w:rsid w:val="00851CBE"/>
    <w:rsid w:val="00864B18"/>
    <w:rsid w:val="00867B55"/>
    <w:rsid w:val="008A0C83"/>
    <w:rsid w:val="00952BE8"/>
    <w:rsid w:val="00984810"/>
    <w:rsid w:val="00A0045B"/>
    <w:rsid w:val="00A10266"/>
    <w:rsid w:val="00A36345"/>
    <w:rsid w:val="00A47320"/>
    <w:rsid w:val="00A65C6D"/>
    <w:rsid w:val="00A707EE"/>
    <w:rsid w:val="00A71B35"/>
    <w:rsid w:val="00A77F4F"/>
    <w:rsid w:val="00AE5A2A"/>
    <w:rsid w:val="00BF6007"/>
    <w:rsid w:val="00C2063D"/>
    <w:rsid w:val="00CA45D4"/>
    <w:rsid w:val="00CD375F"/>
    <w:rsid w:val="00CF4683"/>
    <w:rsid w:val="00D2179B"/>
    <w:rsid w:val="00D87190"/>
    <w:rsid w:val="00DC6617"/>
    <w:rsid w:val="00DD688F"/>
    <w:rsid w:val="00DF6BF9"/>
    <w:rsid w:val="00E118E7"/>
    <w:rsid w:val="00E24FCF"/>
    <w:rsid w:val="00E32B9C"/>
    <w:rsid w:val="00E75E13"/>
    <w:rsid w:val="00EB3CFC"/>
    <w:rsid w:val="00F0195A"/>
    <w:rsid w:val="00F103D6"/>
    <w:rsid w:val="00F2339B"/>
    <w:rsid w:val="00F2511F"/>
    <w:rsid w:val="00F44954"/>
    <w:rsid w:val="00FC7CBF"/>
    <w:rsid w:val="00FE0DA8"/>
    <w:rsid w:val="01A3103C"/>
    <w:rsid w:val="09BD5CD5"/>
    <w:rsid w:val="0A5E1E94"/>
    <w:rsid w:val="101B60BD"/>
    <w:rsid w:val="15941C65"/>
    <w:rsid w:val="16B05DB1"/>
    <w:rsid w:val="178634C9"/>
    <w:rsid w:val="19E576A2"/>
    <w:rsid w:val="22B64E26"/>
    <w:rsid w:val="245D15AE"/>
    <w:rsid w:val="30D5265F"/>
    <w:rsid w:val="33B17CDB"/>
    <w:rsid w:val="3A300C69"/>
    <w:rsid w:val="3B873629"/>
    <w:rsid w:val="3F97392D"/>
    <w:rsid w:val="41FC01DB"/>
    <w:rsid w:val="45F71C27"/>
    <w:rsid w:val="4CB42CAC"/>
    <w:rsid w:val="57FA75DD"/>
    <w:rsid w:val="623A44C2"/>
    <w:rsid w:val="67946157"/>
    <w:rsid w:val="6CBF795B"/>
    <w:rsid w:val="70742FA6"/>
    <w:rsid w:val="743754E5"/>
    <w:rsid w:val="78B65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Times New Roman" w:eastAsia="宋体" w:cs="Times New Roman"/>
      <w:kern w:val="2"/>
      <w:sz w:val="21"/>
      <w:szCs w:val="22"/>
      <w:lang w:val="en-US" w:eastAsia="zh-CN" w:bidi="ar-SA"/>
    </w:rPr>
  </w:style>
  <w:style w:type="paragraph" w:styleId="3">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34"/>
    <w:qFormat/>
    <w:uiPriority w:val="0"/>
    <w:pPr>
      <w:keepNext/>
      <w:keepLines/>
      <w:widowControl w:val="0"/>
      <w:autoSpaceDE w:val="0"/>
      <w:autoSpaceDN w:val="0"/>
      <w:spacing w:before="260" w:after="260" w:line="416" w:lineRule="auto"/>
      <w:jc w:val="left"/>
      <w:textAlignment w:val="auto"/>
      <w:outlineLvl w:val="2"/>
    </w:pPr>
    <w:rPr>
      <w:rFonts w:ascii="仿宋" w:hAnsi="仿宋" w:eastAsia="仿宋" w:cs="仿宋"/>
      <w:b/>
      <w:bCs/>
      <w:kern w:val="0"/>
      <w:sz w:val="32"/>
      <w:szCs w:val="32"/>
      <w:lang w:val="zh-CN" w:bidi="zh-CN"/>
    </w:rPr>
  </w:style>
  <w:style w:type="paragraph" w:styleId="4">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firstLine="420" w:firstLineChars="200"/>
    </w:pPr>
  </w:style>
  <w:style w:type="paragraph" w:styleId="6">
    <w:name w:val="Body Text"/>
    <w:basedOn w:val="1"/>
    <w:next w:val="7"/>
    <w:link w:val="15"/>
    <w:qFormat/>
    <w:uiPriority w:val="1"/>
    <w:pPr>
      <w:widowControl w:val="0"/>
      <w:autoSpaceDE w:val="0"/>
      <w:autoSpaceDN w:val="0"/>
      <w:jc w:val="left"/>
      <w:textAlignment w:val="auto"/>
    </w:pPr>
    <w:rPr>
      <w:rFonts w:ascii="仿宋" w:hAnsi="仿宋" w:eastAsia="仿宋" w:cs="仿宋"/>
      <w:kern w:val="0"/>
      <w:sz w:val="32"/>
      <w:szCs w:val="32"/>
      <w:lang w:val="zh-CN" w:bidi="zh-CN"/>
    </w:rPr>
  </w:style>
  <w:style w:type="paragraph" w:styleId="7">
    <w:name w:val="toc 1"/>
    <w:basedOn w:val="1"/>
    <w:next w:val="1"/>
    <w:qFormat/>
    <w:uiPriority w:val="39"/>
  </w:style>
  <w:style w:type="paragraph" w:styleId="8">
    <w:name w:val="Block Text"/>
    <w:basedOn w:val="1"/>
    <w:next w:val="1"/>
    <w:qFormat/>
    <w:uiPriority w:val="99"/>
    <w:pPr>
      <w:spacing w:line="300" w:lineRule="exact"/>
      <w:ind w:left="-105" w:leftChars="-50" w:right="-105" w:rightChars="-50"/>
      <w:jc w:val="center"/>
    </w:pPr>
    <w:rPr>
      <w:rFonts w:ascii="宋体" w:hAnsi="宋体"/>
      <w:sz w:val="18"/>
    </w:rPr>
  </w:style>
  <w:style w:type="paragraph" w:styleId="9">
    <w:name w:val="Plain Text"/>
    <w:basedOn w:val="1"/>
    <w:next w:val="1"/>
    <w:link w:val="33"/>
    <w:qFormat/>
    <w:uiPriority w:val="0"/>
    <w:pPr>
      <w:widowControl w:val="0"/>
      <w:autoSpaceDE w:val="0"/>
      <w:autoSpaceDN w:val="0"/>
      <w:spacing w:line="520" w:lineRule="exact"/>
      <w:ind w:firstLine="480" w:firstLineChars="200"/>
      <w:jc w:val="left"/>
      <w:textAlignment w:val="auto"/>
    </w:pPr>
    <w:rPr>
      <w:rFonts w:ascii="仿宋" w:hAnsi="宋体" w:eastAsia="仿宋" w:cs="仿宋"/>
      <w:kern w:val="0"/>
      <w:sz w:val="24"/>
      <w:szCs w:val="21"/>
      <w:lang w:val="zh-CN" w:bidi="zh-CN"/>
    </w:rPr>
  </w:style>
  <w:style w:type="paragraph" w:styleId="10">
    <w:name w:val="footer"/>
    <w:basedOn w:val="1"/>
    <w:link w:val="21"/>
    <w:qFormat/>
    <w:uiPriority w:val="99"/>
    <w:pPr>
      <w:tabs>
        <w:tab w:val="center" w:pos="4153"/>
        <w:tab w:val="right" w:pos="8306"/>
      </w:tabs>
      <w:snapToGrid w:val="0"/>
      <w:jc w:val="left"/>
    </w:pPr>
    <w:rPr>
      <w:rFonts w:ascii="仿宋_GB2312" w:eastAsia="仿宋_GB2312"/>
      <w:sz w:val="18"/>
      <w:szCs w:val="18"/>
    </w:rPr>
  </w:style>
  <w:style w:type="paragraph" w:styleId="11">
    <w:name w:val="header"/>
    <w:basedOn w:val="1"/>
    <w:link w:val="22"/>
    <w:qFormat/>
    <w:uiPriority w:val="0"/>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12">
    <w:name w:val="Subtitle"/>
    <w:basedOn w:val="1"/>
    <w:next w:val="1"/>
    <w:link w:val="23"/>
    <w:qFormat/>
    <w:uiPriority w:val="11"/>
    <w:pPr>
      <w:snapToGrid w:val="0"/>
      <w:spacing w:before="240" w:after="60" w:line="312" w:lineRule="auto"/>
      <w:jc w:val="center"/>
    </w:pPr>
    <w:rPr>
      <w:rFonts w:ascii="Cambria" w:hAnsi="Cambria" w:eastAsia="黑体"/>
      <w:kern w:val="28"/>
      <w:sz w:val="24"/>
      <w:szCs w:val="32"/>
    </w:rPr>
  </w:style>
  <w:style w:type="character" w:customStyle="1" w:styleId="15">
    <w:name w:val="正文文本 Char"/>
    <w:basedOn w:val="14"/>
    <w:link w:val="6"/>
    <w:qFormat/>
    <w:uiPriority w:val="1"/>
    <w:rPr>
      <w:rFonts w:ascii="仿宋" w:hAnsi="仿宋" w:eastAsia="仿宋" w:cs="仿宋"/>
      <w:sz w:val="32"/>
      <w:szCs w:val="32"/>
      <w:lang w:val="zh-CN" w:bidi="zh-CN"/>
    </w:rPr>
  </w:style>
  <w:style w:type="paragraph" w:customStyle="1" w:styleId="16">
    <w:name w:val="BodyText"/>
    <w:basedOn w:val="1"/>
    <w:next w:val="17"/>
    <w:link w:val="27"/>
    <w:qFormat/>
    <w:uiPriority w:val="0"/>
    <w:pPr>
      <w:spacing w:after="120"/>
      <w:jc w:val="left"/>
    </w:pPr>
    <w:rPr>
      <w:rFonts w:ascii="Times New Roman"/>
      <w:szCs w:val="24"/>
    </w:rPr>
  </w:style>
  <w:style w:type="paragraph" w:customStyle="1" w:styleId="17">
    <w:name w:val="TOC1"/>
    <w:basedOn w:val="1"/>
    <w:next w:val="1"/>
    <w:qFormat/>
    <w:uiPriority w:val="0"/>
    <w:pPr>
      <w:spacing w:before="109"/>
      <w:ind w:right="275"/>
      <w:jc w:val="right"/>
    </w:pPr>
    <w:rPr>
      <w:rFonts w:ascii="仿宋" w:hAnsi="仿宋" w:eastAsia="仿宋"/>
      <w:szCs w:val="21"/>
      <w:lang w:val="zh-CN" w:bidi="zh-CN"/>
    </w:rPr>
  </w:style>
  <w:style w:type="paragraph" w:customStyle="1" w:styleId="18">
    <w:name w:val="Heading2"/>
    <w:basedOn w:val="1"/>
    <w:next w:val="1"/>
    <w:qFormat/>
    <w:uiPriority w:val="0"/>
    <w:pPr>
      <w:keepNext/>
      <w:keepLines/>
      <w:spacing w:before="260" w:after="260" w:line="413" w:lineRule="auto"/>
    </w:pPr>
    <w:rPr>
      <w:rFonts w:ascii="Arial" w:hAnsi="Arial" w:eastAsia="黑体"/>
      <w:sz w:val="32"/>
    </w:rPr>
  </w:style>
  <w:style w:type="character" w:customStyle="1" w:styleId="19">
    <w:name w:val="NormalCharacter"/>
    <w:qFormat/>
    <w:uiPriority w:val="0"/>
  </w:style>
  <w:style w:type="table" w:customStyle="1" w:styleId="20">
    <w:name w:val="TableNormal"/>
    <w:qFormat/>
    <w:uiPriority w:val="0"/>
    <w:tblPr>
      <w:tblCellMar>
        <w:top w:w="0" w:type="dxa"/>
        <w:left w:w="0" w:type="dxa"/>
        <w:bottom w:w="0" w:type="dxa"/>
        <w:right w:w="0" w:type="dxa"/>
      </w:tblCellMar>
    </w:tblPr>
  </w:style>
  <w:style w:type="character" w:customStyle="1" w:styleId="21">
    <w:name w:val="页脚 Char"/>
    <w:link w:val="10"/>
    <w:qFormat/>
    <w:uiPriority w:val="99"/>
    <w:rPr>
      <w:kern w:val="2"/>
      <w:sz w:val="18"/>
      <w:szCs w:val="18"/>
    </w:rPr>
  </w:style>
  <w:style w:type="character" w:customStyle="1" w:styleId="22">
    <w:name w:val="页眉 Char"/>
    <w:link w:val="11"/>
    <w:qFormat/>
    <w:uiPriority w:val="0"/>
    <w:rPr>
      <w:kern w:val="2"/>
      <w:sz w:val="18"/>
      <w:szCs w:val="18"/>
    </w:rPr>
  </w:style>
  <w:style w:type="character" w:customStyle="1" w:styleId="23">
    <w:name w:val="副标题 Char"/>
    <w:link w:val="12"/>
    <w:qFormat/>
    <w:uiPriority w:val="0"/>
    <w:rPr>
      <w:rFonts w:ascii="Cambria" w:hAnsi="Cambria" w:eastAsia="黑体" w:cs="Times New Roman"/>
      <w:b/>
      <w:bCs/>
      <w:kern w:val="28"/>
      <w:sz w:val="24"/>
      <w:szCs w:val="32"/>
    </w:rPr>
  </w:style>
  <w:style w:type="character" w:customStyle="1" w:styleId="24">
    <w:name w:val="UserStyle_3"/>
    <w:link w:val="25"/>
    <w:qFormat/>
    <w:uiPriority w:val="0"/>
    <w:rPr>
      <w:rFonts w:ascii="宋体" w:hAnsi="Courier New"/>
      <w:kern w:val="2"/>
      <w:sz w:val="21"/>
      <w:szCs w:val="21"/>
    </w:rPr>
  </w:style>
  <w:style w:type="paragraph" w:customStyle="1" w:styleId="25">
    <w:name w:val="PlainText"/>
    <w:basedOn w:val="1"/>
    <w:link w:val="24"/>
    <w:qFormat/>
    <w:uiPriority w:val="0"/>
    <w:rPr>
      <w:rFonts w:ascii="宋体" w:hAnsi="Courier New" w:eastAsia="仿宋_GB2312"/>
      <w:szCs w:val="21"/>
    </w:rPr>
  </w:style>
  <w:style w:type="character" w:customStyle="1" w:styleId="26">
    <w:name w:val="UserStyle_4"/>
    <w:qFormat/>
    <w:uiPriority w:val="0"/>
    <w:rPr>
      <w:rFonts w:ascii="宋体" w:hAnsi="Courier New" w:eastAsia="宋体"/>
      <w:kern w:val="2"/>
      <w:sz w:val="21"/>
      <w:szCs w:val="21"/>
    </w:rPr>
  </w:style>
  <w:style w:type="character" w:customStyle="1" w:styleId="27">
    <w:name w:val="UserStyle_5"/>
    <w:link w:val="16"/>
    <w:qFormat/>
    <w:uiPriority w:val="0"/>
    <w:rPr>
      <w:rFonts w:ascii="Times New Roman" w:hAnsi="Times New Roman" w:eastAsia="宋体"/>
      <w:kern w:val="2"/>
      <w:sz w:val="21"/>
      <w:szCs w:val="24"/>
    </w:rPr>
  </w:style>
  <w:style w:type="paragraph" w:customStyle="1" w:styleId="28">
    <w:name w:val="TableOfAuthoring"/>
    <w:basedOn w:val="1"/>
    <w:next w:val="1"/>
    <w:qFormat/>
    <w:uiPriority w:val="0"/>
    <w:pPr>
      <w:ind w:left="420" w:leftChars="200"/>
    </w:pPr>
    <w:rPr>
      <w:rFonts w:ascii="Times New Roman"/>
    </w:rPr>
  </w:style>
  <w:style w:type="paragraph" w:customStyle="1" w:styleId="29">
    <w:name w:val="179"/>
    <w:basedOn w:val="1"/>
    <w:qFormat/>
    <w:uiPriority w:val="0"/>
    <w:pPr>
      <w:ind w:left="1368" w:firstLine="638"/>
    </w:pPr>
    <w:rPr>
      <w:rFonts w:ascii="仿宋" w:hAnsi="仿宋" w:eastAsia="仿宋"/>
      <w:lang w:val="zh-CN" w:bidi="zh-CN"/>
    </w:rPr>
  </w:style>
  <w:style w:type="paragraph" w:customStyle="1" w:styleId="30">
    <w:name w:val="Default"/>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paragraph" w:styleId="31">
    <w:name w:val="List Paragraph"/>
    <w:basedOn w:val="1"/>
    <w:qFormat/>
    <w:uiPriority w:val="99"/>
    <w:pPr>
      <w:ind w:firstLine="420" w:firstLineChars="200"/>
    </w:pPr>
  </w:style>
  <w:style w:type="character" w:customStyle="1" w:styleId="32">
    <w:name w:val="标题 3 Char"/>
    <w:basedOn w:val="14"/>
    <w:semiHidden/>
    <w:qFormat/>
    <w:uiPriority w:val="9"/>
    <w:rPr>
      <w:rFonts w:ascii="Calibri"/>
      <w:b/>
      <w:bCs/>
      <w:kern w:val="2"/>
      <w:sz w:val="32"/>
      <w:szCs w:val="32"/>
    </w:rPr>
  </w:style>
  <w:style w:type="character" w:customStyle="1" w:styleId="33">
    <w:name w:val="纯文本 Char"/>
    <w:basedOn w:val="14"/>
    <w:link w:val="9"/>
    <w:qFormat/>
    <w:uiPriority w:val="0"/>
    <w:rPr>
      <w:rFonts w:ascii="仿宋" w:hAnsi="宋体" w:eastAsia="仿宋" w:cs="仿宋"/>
      <w:sz w:val="24"/>
      <w:szCs w:val="21"/>
      <w:lang w:val="zh-CN" w:bidi="zh-CN"/>
    </w:rPr>
  </w:style>
  <w:style w:type="character" w:customStyle="1" w:styleId="34">
    <w:name w:val="标题 3 Char1"/>
    <w:link w:val="2"/>
    <w:qFormat/>
    <w:uiPriority w:val="0"/>
    <w:rPr>
      <w:rFonts w:ascii="仿宋" w:hAnsi="仿宋" w:eastAsia="仿宋" w:cs="仿宋"/>
      <w:b/>
      <w:bCs/>
      <w:sz w:val="32"/>
      <w:szCs w:val="32"/>
      <w:lang w:val="zh-CN" w:eastAsia="zh-CN" w:bidi="zh-CN"/>
    </w:rPr>
  </w:style>
  <w:style w:type="character" w:customStyle="1" w:styleId="35">
    <w:name w:val="标题 2 Char"/>
    <w:basedOn w:val="14"/>
    <w:link w:val="3"/>
    <w:qFormat/>
    <w:uiPriority w:val="9"/>
    <w:rPr>
      <w:rFonts w:asciiTheme="majorHAnsi" w:hAnsiTheme="majorHAnsi" w:eastAsiaTheme="majorEastAsia" w:cstheme="majorBidi"/>
      <w:b/>
      <w:bCs/>
      <w:kern w:val="2"/>
      <w:sz w:val="32"/>
      <w:szCs w:val="32"/>
    </w:rPr>
  </w:style>
  <w:style w:type="paragraph" w:customStyle="1" w:styleId="36">
    <w:name w:val="正文（绿盟科技）"/>
    <w:qFormat/>
    <w:uiPriority w:val="0"/>
    <w:pPr>
      <w:spacing w:line="300" w:lineRule="auto"/>
    </w:pPr>
    <w:rPr>
      <w:rFonts w:ascii="Arial" w:hAnsi="Arial" w:eastAsia="宋体" w:cs="Times New Roman"/>
      <w:sz w:val="21"/>
      <w:szCs w:val="21"/>
      <w:lang w:val="en-US" w:eastAsia="zh-CN" w:bidi="ar-SA"/>
    </w:rPr>
  </w:style>
  <w:style w:type="character" w:customStyle="1" w:styleId="37">
    <w:name w:val="font51"/>
    <w:basedOn w:val="14"/>
    <w:qFormat/>
    <w:uiPriority w:val="0"/>
    <w:rPr>
      <w:rFonts w:ascii="仿宋" w:hAnsi="仿宋" w:eastAsia="仿宋" w:cs="仿宋"/>
      <w:b/>
      <w:bCs/>
      <w:color w:val="000000"/>
      <w:sz w:val="20"/>
      <w:szCs w:val="20"/>
      <w:u w:val="none"/>
    </w:rPr>
  </w:style>
  <w:style w:type="character" w:customStyle="1" w:styleId="38">
    <w:name w:val="font131"/>
    <w:basedOn w:val="14"/>
    <w:qFormat/>
    <w:uiPriority w:val="0"/>
    <w:rPr>
      <w:rFonts w:hint="eastAsia" w:ascii="仿宋" w:hAnsi="仿宋" w:eastAsia="仿宋" w:cs="仿宋"/>
      <w:b/>
      <w:bCs/>
      <w:color w:val="000000"/>
      <w:sz w:val="20"/>
      <w:szCs w:val="20"/>
      <w:u w:val="none"/>
    </w:rPr>
  </w:style>
  <w:style w:type="character" w:customStyle="1" w:styleId="39">
    <w:name w:val="font141"/>
    <w:basedOn w:val="14"/>
    <w:qFormat/>
    <w:uiPriority w:val="0"/>
    <w:rPr>
      <w:rFonts w:hint="eastAsia" w:ascii="仿宋" w:hAnsi="仿宋" w:eastAsia="仿宋" w:cs="仿宋"/>
      <w:color w:val="000000"/>
      <w:sz w:val="20"/>
      <w:szCs w:val="20"/>
      <w:u w:val="none"/>
    </w:rPr>
  </w:style>
  <w:style w:type="character" w:customStyle="1" w:styleId="40">
    <w:name w:val="font21"/>
    <w:basedOn w:val="1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6064</Words>
  <Characters>8735</Characters>
  <Lines>36</Lines>
  <Paragraphs>10</Paragraphs>
  <TotalTime>21</TotalTime>
  <ScaleCrop>false</ScaleCrop>
  <LinksUpToDate>false</LinksUpToDate>
  <CharactersWithSpaces>9242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2025-05-15T04:53:00Z</dcterms:created>
  <dc:creator>张晏齐</dc:creator>
  <cp:lastModifiedBy>YC</cp:lastModifiedBy>
  <dcterms:modified xsi:type="dcterms:W3CDTF">2025-12-17T10:58:06Z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496685ED5F3549E39EAB46CB372AD16C_13</vt:lpwstr>
  </property>
  <property fmtid="{D5CDD505-2E9C-101B-9397-08002B2CF9AE}" pid="4" name="KSOTemplateDocerSaveRecord">
    <vt:lpwstr>eyJoZGlkIjoiYWYyMjJjN2NjNTc4ODc0ZDU3ZTU4YjU1YjhkNWMxOTgiLCJ1c2VySWQiOiIyOTI2MDkxNDIifQ==</vt:lpwstr>
  </property>
</Properties>
</file>